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03BF" w14:textId="2B80C414" w:rsidR="008079E5" w:rsidRDefault="008079E5" w:rsidP="008079E5">
      <w:pPr>
        <w:jc w:val="center"/>
      </w:pPr>
    </w:p>
    <w:p w14:paraId="42D103C0" w14:textId="77777777" w:rsidR="008079E5" w:rsidRDefault="008079E5" w:rsidP="00DC29F0">
      <w:pPr>
        <w:ind w:left="-360"/>
      </w:pPr>
      <w:r>
        <w:rPr>
          <w:noProof/>
          <w:lang w:eastAsia="en-AU"/>
        </w:rPr>
        <w:drawing>
          <wp:inline distT="0" distB="0" distL="0" distR="0" wp14:anchorId="42D1055A" wp14:editId="42D1055B">
            <wp:extent cx="5252767" cy="241200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767" cy="2412000"/>
                    </a:xfrm>
                    <a:prstGeom prst="rect">
                      <a:avLst/>
                    </a:prstGeom>
                  </pic:spPr>
                </pic:pic>
              </a:graphicData>
            </a:graphic>
          </wp:inline>
        </w:drawing>
      </w:r>
    </w:p>
    <w:p w14:paraId="42D103C1" w14:textId="77777777" w:rsidR="008079E5" w:rsidRDefault="008079E5" w:rsidP="000C7CDA"/>
    <w:p w14:paraId="42D103C2" w14:textId="77777777" w:rsidR="008079E5" w:rsidRDefault="008079E5" w:rsidP="000C7CDA">
      <w:pPr>
        <w:rPr>
          <w:b/>
          <w:sz w:val="40"/>
        </w:rPr>
      </w:pPr>
    </w:p>
    <w:p w14:paraId="42D103C3" w14:textId="4B0D9017" w:rsidR="008079E5" w:rsidRPr="00F313EA" w:rsidRDefault="008079E5" w:rsidP="008079E5">
      <w:pPr>
        <w:rPr>
          <w:b/>
          <w:sz w:val="32"/>
        </w:rPr>
      </w:pPr>
      <w:r w:rsidRPr="00F313EA">
        <w:rPr>
          <w:b/>
          <w:sz w:val="32"/>
          <w:u w:val="single"/>
        </w:rPr>
        <w:t>Title:</w:t>
      </w:r>
      <w:r w:rsidRPr="00F313EA">
        <w:rPr>
          <w:b/>
          <w:sz w:val="32"/>
        </w:rPr>
        <w:t xml:space="preserve"> </w:t>
      </w:r>
      <w:r w:rsidR="00AD59D9">
        <w:rPr>
          <w:sz w:val="32"/>
        </w:rPr>
        <w:t>Access &amp; Equity</w:t>
      </w:r>
    </w:p>
    <w:p w14:paraId="42D103C4" w14:textId="77777777" w:rsidR="008079E5" w:rsidRPr="00F313EA" w:rsidRDefault="008079E5" w:rsidP="008079E5">
      <w:pPr>
        <w:rPr>
          <w:b/>
          <w:sz w:val="32"/>
        </w:rPr>
      </w:pPr>
    </w:p>
    <w:p w14:paraId="42D103C5" w14:textId="748C487F" w:rsidR="008079E5" w:rsidRPr="00095FBE" w:rsidRDefault="008079E5" w:rsidP="008079E5">
      <w:pPr>
        <w:rPr>
          <w:sz w:val="40"/>
        </w:rPr>
      </w:pPr>
      <w:r w:rsidRPr="00F313EA">
        <w:rPr>
          <w:b/>
          <w:sz w:val="32"/>
          <w:u w:val="single"/>
        </w:rPr>
        <w:t>Procedure Number</w:t>
      </w:r>
      <w:r w:rsidRPr="00F313EA">
        <w:rPr>
          <w:b/>
          <w:sz w:val="32"/>
        </w:rPr>
        <w:t xml:space="preserve">: </w:t>
      </w:r>
      <w:r w:rsidR="00AD59D9">
        <w:rPr>
          <w:sz w:val="32"/>
        </w:rPr>
        <w:t>RTO-CG-PO006</w:t>
      </w:r>
    </w:p>
    <w:p w14:paraId="42D103C6" w14:textId="77777777" w:rsidR="008079E5" w:rsidRDefault="008079E5" w:rsidP="000C7CDA">
      <w:pPr>
        <w:rPr>
          <w:b/>
          <w:sz w:val="40"/>
        </w:rPr>
      </w:pPr>
    </w:p>
    <w:p w14:paraId="42D103C7" w14:textId="77777777" w:rsidR="008079E5" w:rsidRDefault="008079E5" w:rsidP="000C7CDA">
      <w:pPr>
        <w:rPr>
          <w:b/>
          <w:sz w:val="32"/>
        </w:rPr>
      </w:pPr>
    </w:p>
    <w:p w14:paraId="42D103C8" w14:textId="77777777" w:rsidR="008079E5" w:rsidRDefault="008079E5" w:rsidP="000C7CDA">
      <w:pPr>
        <w:rPr>
          <w:b/>
          <w:sz w:val="32"/>
        </w:rPr>
      </w:pPr>
    </w:p>
    <w:p w14:paraId="42D103C9" w14:textId="77777777" w:rsidR="008079E5" w:rsidRDefault="008079E5" w:rsidP="000C7CDA">
      <w:pPr>
        <w:rPr>
          <w:b/>
          <w:sz w:val="32"/>
        </w:rPr>
      </w:pPr>
    </w:p>
    <w:p w14:paraId="42D103CA" w14:textId="77777777" w:rsidR="008079E5" w:rsidRDefault="008079E5" w:rsidP="000C7CDA">
      <w:pPr>
        <w:rPr>
          <w:b/>
          <w:sz w:val="32"/>
        </w:rPr>
      </w:pPr>
    </w:p>
    <w:p w14:paraId="42D103CB" w14:textId="77777777" w:rsidR="008079E5" w:rsidRDefault="008079E5" w:rsidP="000C7CDA">
      <w:pPr>
        <w:rPr>
          <w:b/>
          <w:sz w:val="32"/>
        </w:rPr>
      </w:pPr>
    </w:p>
    <w:p w14:paraId="42D103CC" w14:textId="77777777" w:rsidR="008079E5" w:rsidRDefault="008079E5" w:rsidP="000C7CDA">
      <w:pPr>
        <w:rPr>
          <w:b/>
          <w:sz w:val="32"/>
        </w:rPr>
      </w:pPr>
    </w:p>
    <w:p w14:paraId="42D103CD" w14:textId="77777777" w:rsidR="008079E5" w:rsidRDefault="008079E5" w:rsidP="000C7CDA">
      <w:pPr>
        <w:rPr>
          <w:b/>
          <w:sz w:val="32"/>
        </w:rPr>
      </w:pPr>
    </w:p>
    <w:p w14:paraId="42D103CE" w14:textId="77777777" w:rsidR="008079E5" w:rsidRDefault="008079E5" w:rsidP="000C7CDA">
      <w:pPr>
        <w:rPr>
          <w:b/>
          <w:sz w:val="32"/>
        </w:rPr>
      </w:pPr>
    </w:p>
    <w:p w14:paraId="42D103CF" w14:textId="77777777" w:rsidR="008079E5" w:rsidRDefault="008079E5" w:rsidP="000C7CDA">
      <w:pPr>
        <w:rPr>
          <w:b/>
          <w:sz w:val="32"/>
        </w:rPr>
      </w:pPr>
    </w:p>
    <w:p w14:paraId="42D103D0" w14:textId="77777777" w:rsidR="008079E5" w:rsidRDefault="008079E5" w:rsidP="000C7CDA">
      <w:pPr>
        <w:rPr>
          <w:b/>
          <w:sz w:val="32"/>
        </w:rPr>
      </w:pPr>
    </w:p>
    <w:p w14:paraId="42D103D1" w14:textId="77777777" w:rsidR="008079E5" w:rsidRDefault="008079E5" w:rsidP="000C7CDA">
      <w:pPr>
        <w:rPr>
          <w:b/>
          <w:sz w:val="32"/>
        </w:rPr>
      </w:pPr>
    </w:p>
    <w:p w14:paraId="42D103D2" w14:textId="77777777" w:rsidR="008079E5" w:rsidRPr="008079E5" w:rsidRDefault="008079E5" w:rsidP="000C7CDA">
      <w:pPr>
        <w:rPr>
          <w:b/>
          <w:sz w:val="28"/>
        </w:rPr>
      </w:pPr>
      <w:r w:rsidRPr="008079E5">
        <w:rPr>
          <w:b/>
          <w:sz w:val="28"/>
        </w:rPr>
        <w:t>Approvals</w:t>
      </w:r>
    </w:p>
    <w:p w14:paraId="42D103D3" w14:textId="77777777" w:rsidR="008079E5" w:rsidRPr="008079E5" w:rsidRDefault="008079E5" w:rsidP="008079E5">
      <w:pPr>
        <w:jc w:val="both"/>
      </w:pPr>
      <w:r w:rsidRPr="008079E5">
        <w:rPr>
          <w:sz w:val="24"/>
        </w:rPr>
        <w:t>This procedure has been approved for use by the signatures below as the current edition, together with all amendments as listed below:</w:t>
      </w:r>
    </w:p>
    <w:p w14:paraId="42D103D4" w14:textId="77777777" w:rsidR="008079E5" w:rsidRDefault="008079E5" w:rsidP="000C7CDA">
      <w:pPr>
        <w:rPr>
          <w:b/>
        </w:rPr>
      </w:pPr>
      <w:r>
        <w:rPr>
          <w:b/>
        </w:rPr>
        <w:t>All other amendments are unapproved</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3"/>
        <w:gridCol w:w="3179"/>
        <w:gridCol w:w="3217"/>
      </w:tblGrid>
      <w:tr w:rsidR="00C57353" w14:paraId="2664ECCF" w14:textId="77777777" w:rsidTr="0014190A">
        <w:tc>
          <w:tcPr>
            <w:tcW w:w="3169" w:type="dxa"/>
          </w:tcPr>
          <w:p w14:paraId="3CC39DA0" w14:textId="77777777" w:rsidR="00C57353" w:rsidRDefault="00C57353" w:rsidP="0014190A">
            <w:pPr>
              <w:jc w:val="both"/>
              <w:rPr>
                <w:b/>
              </w:rPr>
            </w:pPr>
            <w:r>
              <w:rPr>
                <w:b/>
              </w:rPr>
              <w:t>Job Title</w:t>
            </w:r>
          </w:p>
        </w:tc>
        <w:tc>
          <w:tcPr>
            <w:tcW w:w="3278" w:type="dxa"/>
          </w:tcPr>
          <w:p w14:paraId="3782D82B" w14:textId="77777777" w:rsidR="00C57353" w:rsidRDefault="00C57353" w:rsidP="0014190A">
            <w:pPr>
              <w:jc w:val="both"/>
              <w:rPr>
                <w:b/>
              </w:rPr>
            </w:pPr>
            <w:r>
              <w:rPr>
                <w:b/>
              </w:rPr>
              <w:t>Name</w:t>
            </w:r>
          </w:p>
        </w:tc>
        <w:tc>
          <w:tcPr>
            <w:tcW w:w="3278" w:type="dxa"/>
          </w:tcPr>
          <w:p w14:paraId="31ABC9AE" w14:textId="77777777" w:rsidR="00C57353" w:rsidRDefault="00C57353" w:rsidP="0014190A">
            <w:pPr>
              <w:jc w:val="both"/>
              <w:rPr>
                <w:b/>
              </w:rPr>
            </w:pPr>
            <w:r>
              <w:rPr>
                <w:b/>
              </w:rPr>
              <w:t>Approval Signature</w:t>
            </w:r>
          </w:p>
        </w:tc>
      </w:tr>
      <w:tr w:rsidR="00C57353" w14:paraId="4646427B" w14:textId="77777777" w:rsidTr="0014190A">
        <w:trPr>
          <w:trHeight w:val="397"/>
        </w:trPr>
        <w:tc>
          <w:tcPr>
            <w:tcW w:w="3169" w:type="dxa"/>
            <w:vAlign w:val="center"/>
          </w:tcPr>
          <w:p w14:paraId="08DD7773" w14:textId="77777777" w:rsidR="00C57353" w:rsidRPr="00DC29F0" w:rsidRDefault="00C57353" w:rsidP="0014190A">
            <w:pPr>
              <w:jc w:val="both"/>
            </w:pPr>
            <w:r>
              <w:t>Managing Director</w:t>
            </w:r>
          </w:p>
        </w:tc>
        <w:tc>
          <w:tcPr>
            <w:tcW w:w="3278" w:type="dxa"/>
            <w:vAlign w:val="center"/>
          </w:tcPr>
          <w:p w14:paraId="333C3DBC" w14:textId="77777777" w:rsidR="00C57353" w:rsidRPr="00DC29F0" w:rsidRDefault="00C57353" w:rsidP="0014190A">
            <w:pPr>
              <w:jc w:val="both"/>
            </w:pPr>
            <w:r>
              <w:t>Andrew Freeman</w:t>
            </w:r>
          </w:p>
        </w:tc>
        <w:tc>
          <w:tcPr>
            <w:tcW w:w="3278" w:type="dxa"/>
            <w:vAlign w:val="center"/>
          </w:tcPr>
          <w:p w14:paraId="29192FAA" w14:textId="77777777" w:rsidR="00C57353" w:rsidRDefault="00C57353" w:rsidP="0014190A">
            <w:pPr>
              <w:jc w:val="both"/>
              <w:rPr>
                <w:b/>
              </w:rPr>
            </w:pPr>
            <w:r>
              <w:rPr>
                <w:noProof/>
                <w:lang w:eastAsia="en-AU"/>
              </w:rPr>
              <w:drawing>
                <wp:inline distT="0" distB="0" distL="0" distR="0" wp14:anchorId="645553BE" wp14:editId="387A92BD">
                  <wp:extent cx="1067435"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0459" cy="379488"/>
                          </a:xfrm>
                          <a:prstGeom prst="rect">
                            <a:avLst/>
                          </a:prstGeom>
                        </pic:spPr>
                      </pic:pic>
                    </a:graphicData>
                  </a:graphic>
                </wp:inline>
              </w:drawing>
            </w:r>
          </w:p>
        </w:tc>
      </w:tr>
      <w:tr w:rsidR="00C57353" w14:paraId="4FE020C0" w14:textId="77777777" w:rsidTr="0014190A">
        <w:trPr>
          <w:trHeight w:val="397"/>
        </w:trPr>
        <w:tc>
          <w:tcPr>
            <w:tcW w:w="3169" w:type="dxa"/>
            <w:vAlign w:val="center"/>
          </w:tcPr>
          <w:p w14:paraId="10714B98" w14:textId="77777777" w:rsidR="00C57353" w:rsidRPr="00DC29F0" w:rsidRDefault="00C57353" w:rsidP="0014190A">
            <w:pPr>
              <w:jc w:val="both"/>
            </w:pPr>
            <w:r w:rsidRPr="00DC29F0">
              <w:t>Quality/HR Manager</w:t>
            </w:r>
          </w:p>
        </w:tc>
        <w:tc>
          <w:tcPr>
            <w:tcW w:w="3278" w:type="dxa"/>
            <w:vAlign w:val="center"/>
          </w:tcPr>
          <w:p w14:paraId="656DB0B3" w14:textId="77777777" w:rsidR="00C57353" w:rsidRPr="00DC29F0" w:rsidRDefault="00C57353" w:rsidP="0014190A">
            <w:pPr>
              <w:jc w:val="both"/>
            </w:pPr>
            <w:r w:rsidRPr="00DC29F0">
              <w:t>Emily Trevaskis</w:t>
            </w:r>
          </w:p>
        </w:tc>
        <w:tc>
          <w:tcPr>
            <w:tcW w:w="3278" w:type="dxa"/>
            <w:vAlign w:val="center"/>
          </w:tcPr>
          <w:p w14:paraId="3C20C2DB" w14:textId="77777777" w:rsidR="00C57353" w:rsidRDefault="00C57353" w:rsidP="0014190A">
            <w:pPr>
              <w:jc w:val="both"/>
              <w:rPr>
                <w:b/>
              </w:rPr>
            </w:pPr>
            <w:r>
              <w:rPr>
                <w:noProof/>
                <w:lang w:eastAsia="en-AU"/>
              </w:rPr>
              <w:drawing>
                <wp:inline distT="0" distB="0" distL="0" distR="0" wp14:anchorId="515C3A05" wp14:editId="5A2AB818">
                  <wp:extent cx="981024" cy="409575"/>
                  <wp:effectExtent l="0" t="0" r="0" b="0"/>
                  <wp:docPr id="5" name="Picture 5" descr="C:\Users\Receptionist\AppData\Local\Microsoft\Windows\INetCacheContent.Word\Em s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ist\AppData\Local\Microsoft\Windows\INetCacheContent.Word\Em sig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082" cy="412522"/>
                          </a:xfrm>
                          <a:prstGeom prst="rect">
                            <a:avLst/>
                          </a:prstGeom>
                          <a:noFill/>
                          <a:ln>
                            <a:noFill/>
                          </a:ln>
                        </pic:spPr>
                      </pic:pic>
                    </a:graphicData>
                  </a:graphic>
                </wp:inline>
              </w:drawing>
            </w:r>
          </w:p>
        </w:tc>
      </w:tr>
    </w:tbl>
    <w:p w14:paraId="42D103E1" w14:textId="77777777" w:rsidR="008079E5" w:rsidRPr="008079E5" w:rsidRDefault="008079E5" w:rsidP="000C7CDA">
      <w:pPr>
        <w:rPr>
          <w:b/>
        </w:rPr>
      </w:pPr>
    </w:p>
    <w:sdt>
      <w:sdtPr>
        <w:rPr>
          <w:rFonts w:asciiTheme="minorHAnsi" w:eastAsiaTheme="minorHAnsi" w:hAnsiTheme="minorHAnsi" w:cstheme="minorBidi"/>
          <w:b w:val="0"/>
          <w:bCs w:val="0"/>
          <w:color w:val="auto"/>
          <w:sz w:val="22"/>
          <w:szCs w:val="22"/>
          <w:lang w:val="en-AU" w:eastAsia="en-US"/>
        </w:rPr>
        <w:id w:val="-1100719387"/>
        <w:docPartObj>
          <w:docPartGallery w:val="Table of Contents"/>
          <w:docPartUnique/>
        </w:docPartObj>
      </w:sdtPr>
      <w:sdtEndPr>
        <w:rPr>
          <w:noProof/>
        </w:rPr>
      </w:sdtEndPr>
      <w:sdtContent>
        <w:p w14:paraId="42D103E2" w14:textId="77777777" w:rsidR="008079E5" w:rsidRPr="00CD2547" w:rsidRDefault="008079E5">
          <w:pPr>
            <w:pStyle w:val="TOCHeading"/>
            <w:rPr>
              <w:rFonts w:asciiTheme="minorHAnsi" w:hAnsiTheme="minorHAnsi" w:cstheme="minorHAnsi"/>
            </w:rPr>
          </w:pPr>
          <w:r w:rsidRPr="00CD2547">
            <w:rPr>
              <w:rFonts w:asciiTheme="minorHAnsi" w:hAnsiTheme="minorHAnsi" w:cstheme="minorHAnsi"/>
            </w:rPr>
            <w:t>Table of Contents</w:t>
          </w:r>
        </w:p>
        <w:p w14:paraId="2EB77F25" w14:textId="7776D32C" w:rsidR="00AD59D9" w:rsidRDefault="008079E5">
          <w:pPr>
            <w:pStyle w:val="TOC1"/>
            <w:tabs>
              <w:tab w:val="left" w:pos="660"/>
              <w:tab w:val="right" w:leader="dot" w:pos="9607"/>
            </w:tabs>
            <w:rPr>
              <w:rFonts w:eastAsiaTheme="minorEastAsia"/>
              <w:noProof/>
              <w:lang w:eastAsia="en-AU"/>
            </w:rPr>
          </w:pPr>
          <w:r w:rsidRPr="00CD2547">
            <w:rPr>
              <w:rFonts w:cstheme="minorHAnsi"/>
            </w:rPr>
            <w:fldChar w:fldCharType="begin"/>
          </w:r>
          <w:r w:rsidRPr="00CD2547">
            <w:rPr>
              <w:rFonts w:cstheme="minorHAnsi"/>
            </w:rPr>
            <w:instrText xml:space="preserve"> TOC \o "1-3" \h \z \u </w:instrText>
          </w:r>
          <w:r w:rsidRPr="00CD2547">
            <w:rPr>
              <w:rFonts w:cstheme="minorHAnsi"/>
            </w:rPr>
            <w:fldChar w:fldCharType="separate"/>
          </w:r>
          <w:hyperlink w:anchor="_Toc464644614" w:history="1">
            <w:r w:rsidR="00AD59D9" w:rsidRPr="00CF0610">
              <w:rPr>
                <w:rStyle w:val="Hyperlink"/>
                <w:noProof/>
              </w:rPr>
              <w:t>1.0</w:t>
            </w:r>
            <w:r w:rsidR="00AD59D9">
              <w:rPr>
                <w:rFonts w:eastAsiaTheme="minorEastAsia"/>
                <w:noProof/>
                <w:lang w:eastAsia="en-AU"/>
              </w:rPr>
              <w:tab/>
            </w:r>
            <w:r w:rsidR="00AD59D9" w:rsidRPr="00CF0610">
              <w:rPr>
                <w:rStyle w:val="Hyperlink"/>
                <w:noProof/>
              </w:rPr>
              <w:t>SCOPE &amp; PURPOSE</w:t>
            </w:r>
            <w:r w:rsidR="00AD59D9">
              <w:rPr>
                <w:noProof/>
                <w:webHidden/>
              </w:rPr>
              <w:tab/>
            </w:r>
            <w:r w:rsidR="00AD59D9">
              <w:rPr>
                <w:noProof/>
                <w:webHidden/>
              </w:rPr>
              <w:fldChar w:fldCharType="begin"/>
            </w:r>
            <w:r w:rsidR="00AD59D9">
              <w:rPr>
                <w:noProof/>
                <w:webHidden/>
              </w:rPr>
              <w:instrText xml:space="preserve"> PAGEREF _Toc464644614 \h </w:instrText>
            </w:r>
            <w:r w:rsidR="00AD59D9">
              <w:rPr>
                <w:noProof/>
                <w:webHidden/>
              </w:rPr>
            </w:r>
            <w:r w:rsidR="00AD59D9">
              <w:rPr>
                <w:noProof/>
                <w:webHidden/>
              </w:rPr>
              <w:fldChar w:fldCharType="separate"/>
            </w:r>
            <w:r w:rsidR="00AD59D9">
              <w:rPr>
                <w:noProof/>
                <w:webHidden/>
              </w:rPr>
              <w:t>3</w:t>
            </w:r>
            <w:r w:rsidR="00AD59D9">
              <w:rPr>
                <w:noProof/>
                <w:webHidden/>
              </w:rPr>
              <w:fldChar w:fldCharType="end"/>
            </w:r>
          </w:hyperlink>
        </w:p>
        <w:p w14:paraId="50958907" w14:textId="456BD72A" w:rsidR="00AD59D9" w:rsidRDefault="00AD59D9">
          <w:pPr>
            <w:pStyle w:val="TOC1"/>
            <w:tabs>
              <w:tab w:val="left" w:pos="660"/>
              <w:tab w:val="right" w:leader="dot" w:pos="9607"/>
            </w:tabs>
            <w:rPr>
              <w:rFonts w:eastAsiaTheme="minorEastAsia"/>
              <w:noProof/>
              <w:lang w:eastAsia="en-AU"/>
            </w:rPr>
          </w:pPr>
          <w:hyperlink w:anchor="_Toc464644615" w:history="1">
            <w:r w:rsidRPr="00CF0610">
              <w:rPr>
                <w:rStyle w:val="Hyperlink"/>
                <w:noProof/>
              </w:rPr>
              <w:t>2.0</w:t>
            </w:r>
            <w:r>
              <w:rPr>
                <w:rFonts w:eastAsiaTheme="minorEastAsia"/>
                <w:noProof/>
                <w:lang w:eastAsia="en-AU"/>
              </w:rPr>
              <w:tab/>
            </w:r>
            <w:r w:rsidRPr="00CF0610">
              <w:rPr>
                <w:rStyle w:val="Hyperlink"/>
                <w:noProof/>
              </w:rPr>
              <w:t>RESPONSIBILITIES</w:t>
            </w:r>
            <w:r>
              <w:rPr>
                <w:noProof/>
                <w:webHidden/>
              </w:rPr>
              <w:tab/>
            </w:r>
            <w:r>
              <w:rPr>
                <w:noProof/>
                <w:webHidden/>
              </w:rPr>
              <w:fldChar w:fldCharType="begin"/>
            </w:r>
            <w:r>
              <w:rPr>
                <w:noProof/>
                <w:webHidden/>
              </w:rPr>
              <w:instrText xml:space="preserve"> PAGEREF _Toc464644615 \h </w:instrText>
            </w:r>
            <w:r>
              <w:rPr>
                <w:noProof/>
                <w:webHidden/>
              </w:rPr>
            </w:r>
            <w:r>
              <w:rPr>
                <w:noProof/>
                <w:webHidden/>
              </w:rPr>
              <w:fldChar w:fldCharType="separate"/>
            </w:r>
            <w:r>
              <w:rPr>
                <w:noProof/>
                <w:webHidden/>
              </w:rPr>
              <w:t>3</w:t>
            </w:r>
            <w:r>
              <w:rPr>
                <w:noProof/>
                <w:webHidden/>
              </w:rPr>
              <w:fldChar w:fldCharType="end"/>
            </w:r>
          </w:hyperlink>
        </w:p>
        <w:p w14:paraId="13B6C28A" w14:textId="169B2B44" w:rsidR="00AD59D9" w:rsidRDefault="00AD59D9">
          <w:pPr>
            <w:pStyle w:val="TOC1"/>
            <w:tabs>
              <w:tab w:val="left" w:pos="660"/>
              <w:tab w:val="right" w:leader="dot" w:pos="9607"/>
            </w:tabs>
            <w:rPr>
              <w:rFonts w:eastAsiaTheme="minorEastAsia"/>
              <w:noProof/>
              <w:lang w:eastAsia="en-AU"/>
            </w:rPr>
          </w:pPr>
          <w:hyperlink w:anchor="_Toc464644616" w:history="1">
            <w:r w:rsidRPr="00CF0610">
              <w:rPr>
                <w:rStyle w:val="Hyperlink"/>
                <w:noProof/>
              </w:rPr>
              <w:t>3.0</w:t>
            </w:r>
            <w:r>
              <w:rPr>
                <w:rFonts w:eastAsiaTheme="minorEastAsia"/>
                <w:noProof/>
                <w:lang w:eastAsia="en-AU"/>
              </w:rPr>
              <w:tab/>
            </w:r>
            <w:r w:rsidRPr="00CF0610">
              <w:rPr>
                <w:rStyle w:val="Hyperlink"/>
                <w:noProof/>
              </w:rPr>
              <w:t>POLICY</w:t>
            </w:r>
            <w:r>
              <w:rPr>
                <w:noProof/>
                <w:webHidden/>
              </w:rPr>
              <w:tab/>
            </w:r>
            <w:r>
              <w:rPr>
                <w:noProof/>
                <w:webHidden/>
              </w:rPr>
              <w:fldChar w:fldCharType="begin"/>
            </w:r>
            <w:r>
              <w:rPr>
                <w:noProof/>
                <w:webHidden/>
              </w:rPr>
              <w:instrText xml:space="preserve"> PAGEREF _Toc464644616 \h </w:instrText>
            </w:r>
            <w:r>
              <w:rPr>
                <w:noProof/>
                <w:webHidden/>
              </w:rPr>
            </w:r>
            <w:r>
              <w:rPr>
                <w:noProof/>
                <w:webHidden/>
              </w:rPr>
              <w:fldChar w:fldCharType="separate"/>
            </w:r>
            <w:r>
              <w:rPr>
                <w:noProof/>
                <w:webHidden/>
              </w:rPr>
              <w:t>3</w:t>
            </w:r>
            <w:r>
              <w:rPr>
                <w:noProof/>
                <w:webHidden/>
              </w:rPr>
              <w:fldChar w:fldCharType="end"/>
            </w:r>
          </w:hyperlink>
        </w:p>
        <w:p w14:paraId="0FE4470A" w14:textId="00B4B499" w:rsidR="00AD59D9" w:rsidRDefault="00AD59D9">
          <w:pPr>
            <w:pStyle w:val="TOC1"/>
            <w:tabs>
              <w:tab w:val="left" w:pos="660"/>
              <w:tab w:val="right" w:leader="dot" w:pos="9607"/>
            </w:tabs>
            <w:rPr>
              <w:rFonts w:eastAsiaTheme="minorEastAsia"/>
              <w:noProof/>
              <w:lang w:eastAsia="en-AU"/>
            </w:rPr>
          </w:pPr>
          <w:hyperlink w:anchor="_Toc464644618" w:history="1">
            <w:r w:rsidRPr="00CF0610">
              <w:rPr>
                <w:rStyle w:val="Hyperlink"/>
                <w:noProof/>
              </w:rPr>
              <w:t>4.0</w:t>
            </w:r>
            <w:r>
              <w:rPr>
                <w:rFonts w:eastAsiaTheme="minorEastAsia"/>
                <w:noProof/>
                <w:lang w:eastAsia="en-AU"/>
              </w:rPr>
              <w:tab/>
            </w:r>
            <w:r w:rsidRPr="00CF0610">
              <w:rPr>
                <w:rStyle w:val="Hyperlink"/>
                <w:noProof/>
              </w:rPr>
              <w:t>DOCUMENTATION &amp; RECORDS</w:t>
            </w:r>
            <w:r>
              <w:rPr>
                <w:noProof/>
                <w:webHidden/>
              </w:rPr>
              <w:tab/>
            </w:r>
            <w:r>
              <w:rPr>
                <w:noProof/>
                <w:webHidden/>
              </w:rPr>
              <w:fldChar w:fldCharType="begin"/>
            </w:r>
            <w:r>
              <w:rPr>
                <w:noProof/>
                <w:webHidden/>
              </w:rPr>
              <w:instrText xml:space="preserve"> PAGEREF _Toc464644618 \h </w:instrText>
            </w:r>
            <w:r>
              <w:rPr>
                <w:noProof/>
                <w:webHidden/>
              </w:rPr>
            </w:r>
            <w:r>
              <w:rPr>
                <w:noProof/>
                <w:webHidden/>
              </w:rPr>
              <w:fldChar w:fldCharType="separate"/>
            </w:r>
            <w:r>
              <w:rPr>
                <w:noProof/>
                <w:webHidden/>
              </w:rPr>
              <w:t>5</w:t>
            </w:r>
            <w:r>
              <w:rPr>
                <w:noProof/>
                <w:webHidden/>
              </w:rPr>
              <w:fldChar w:fldCharType="end"/>
            </w:r>
          </w:hyperlink>
        </w:p>
        <w:p w14:paraId="4385F32B" w14:textId="7C8BB6B4" w:rsidR="00AD59D9" w:rsidRDefault="00AD59D9">
          <w:pPr>
            <w:pStyle w:val="TOC1"/>
            <w:tabs>
              <w:tab w:val="left" w:pos="660"/>
              <w:tab w:val="right" w:leader="dot" w:pos="9607"/>
            </w:tabs>
            <w:rPr>
              <w:rFonts w:eastAsiaTheme="minorEastAsia"/>
              <w:noProof/>
              <w:lang w:eastAsia="en-AU"/>
            </w:rPr>
          </w:pPr>
          <w:hyperlink w:anchor="_Toc464644619" w:history="1">
            <w:r w:rsidRPr="00CF0610">
              <w:rPr>
                <w:rStyle w:val="Hyperlink"/>
                <w:noProof/>
              </w:rPr>
              <w:t>5.0</w:t>
            </w:r>
            <w:r>
              <w:rPr>
                <w:rFonts w:eastAsiaTheme="minorEastAsia"/>
                <w:noProof/>
                <w:lang w:eastAsia="en-AU"/>
              </w:rPr>
              <w:tab/>
            </w:r>
            <w:r w:rsidRPr="00CF0610">
              <w:rPr>
                <w:rStyle w:val="Hyperlink"/>
                <w:noProof/>
              </w:rPr>
              <w:t>REFERENCES</w:t>
            </w:r>
            <w:r>
              <w:rPr>
                <w:noProof/>
                <w:webHidden/>
              </w:rPr>
              <w:tab/>
            </w:r>
            <w:r>
              <w:rPr>
                <w:noProof/>
                <w:webHidden/>
              </w:rPr>
              <w:fldChar w:fldCharType="begin"/>
            </w:r>
            <w:r>
              <w:rPr>
                <w:noProof/>
                <w:webHidden/>
              </w:rPr>
              <w:instrText xml:space="preserve"> PAGEREF _Toc464644619 \h </w:instrText>
            </w:r>
            <w:r>
              <w:rPr>
                <w:noProof/>
                <w:webHidden/>
              </w:rPr>
            </w:r>
            <w:r>
              <w:rPr>
                <w:noProof/>
                <w:webHidden/>
              </w:rPr>
              <w:fldChar w:fldCharType="separate"/>
            </w:r>
            <w:r>
              <w:rPr>
                <w:noProof/>
                <w:webHidden/>
              </w:rPr>
              <w:t>5</w:t>
            </w:r>
            <w:r>
              <w:rPr>
                <w:noProof/>
                <w:webHidden/>
              </w:rPr>
              <w:fldChar w:fldCharType="end"/>
            </w:r>
          </w:hyperlink>
        </w:p>
        <w:p w14:paraId="04CE9CBB" w14:textId="292D4B4D" w:rsidR="00AD59D9" w:rsidRDefault="00AD59D9">
          <w:pPr>
            <w:pStyle w:val="TOC1"/>
            <w:tabs>
              <w:tab w:val="left" w:pos="660"/>
              <w:tab w:val="right" w:leader="dot" w:pos="9607"/>
            </w:tabs>
            <w:rPr>
              <w:rFonts w:eastAsiaTheme="minorEastAsia"/>
              <w:noProof/>
              <w:lang w:eastAsia="en-AU"/>
            </w:rPr>
          </w:pPr>
          <w:hyperlink w:anchor="_Toc464644620" w:history="1">
            <w:r w:rsidRPr="00CF0610">
              <w:rPr>
                <w:rStyle w:val="Hyperlink"/>
                <w:noProof/>
              </w:rPr>
              <w:t>6.0</w:t>
            </w:r>
            <w:r>
              <w:rPr>
                <w:rFonts w:eastAsiaTheme="minorEastAsia"/>
                <w:noProof/>
                <w:lang w:eastAsia="en-AU"/>
              </w:rPr>
              <w:tab/>
            </w:r>
            <w:r w:rsidRPr="00CF0610">
              <w:rPr>
                <w:rStyle w:val="Hyperlink"/>
                <w:noProof/>
              </w:rPr>
              <w:t>AMENDMENT RECORD</w:t>
            </w:r>
            <w:r>
              <w:rPr>
                <w:noProof/>
                <w:webHidden/>
              </w:rPr>
              <w:tab/>
            </w:r>
            <w:r>
              <w:rPr>
                <w:noProof/>
                <w:webHidden/>
              </w:rPr>
              <w:fldChar w:fldCharType="begin"/>
            </w:r>
            <w:r>
              <w:rPr>
                <w:noProof/>
                <w:webHidden/>
              </w:rPr>
              <w:instrText xml:space="preserve"> PAGEREF _Toc464644620 \h </w:instrText>
            </w:r>
            <w:r>
              <w:rPr>
                <w:noProof/>
                <w:webHidden/>
              </w:rPr>
            </w:r>
            <w:r>
              <w:rPr>
                <w:noProof/>
                <w:webHidden/>
              </w:rPr>
              <w:fldChar w:fldCharType="separate"/>
            </w:r>
            <w:r>
              <w:rPr>
                <w:noProof/>
                <w:webHidden/>
              </w:rPr>
              <w:t>5</w:t>
            </w:r>
            <w:r>
              <w:rPr>
                <w:noProof/>
                <w:webHidden/>
              </w:rPr>
              <w:fldChar w:fldCharType="end"/>
            </w:r>
          </w:hyperlink>
        </w:p>
        <w:p w14:paraId="42D103EB" w14:textId="6BE797CD" w:rsidR="008079E5" w:rsidRDefault="008079E5">
          <w:r w:rsidRPr="00CD2547">
            <w:rPr>
              <w:rFonts w:cstheme="minorHAnsi"/>
              <w:b/>
              <w:bCs/>
              <w:noProof/>
            </w:rPr>
            <w:fldChar w:fldCharType="end"/>
          </w:r>
        </w:p>
      </w:sdtContent>
    </w:sdt>
    <w:p w14:paraId="42D103EC" w14:textId="77777777" w:rsidR="008079E5" w:rsidRDefault="008079E5" w:rsidP="008079E5">
      <w:pPr>
        <w:pStyle w:val="Heading2"/>
      </w:pPr>
    </w:p>
    <w:p w14:paraId="42D103ED" w14:textId="77777777" w:rsidR="008079E5" w:rsidRDefault="008079E5" w:rsidP="000C7CDA"/>
    <w:p w14:paraId="42D103EE" w14:textId="77777777" w:rsidR="008079E5" w:rsidRDefault="008079E5" w:rsidP="000C7CDA"/>
    <w:p w14:paraId="42D103EF" w14:textId="77777777" w:rsidR="008079E5" w:rsidRDefault="008079E5" w:rsidP="000C7CDA"/>
    <w:p w14:paraId="42D103F0" w14:textId="77777777" w:rsidR="008079E5" w:rsidRDefault="008079E5" w:rsidP="000C7CDA"/>
    <w:p w14:paraId="42D103F1" w14:textId="77777777" w:rsidR="008079E5" w:rsidRDefault="008079E5" w:rsidP="000C7CDA"/>
    <w:p w14:paraId="42D103F2" w14:textId="77777777" w:rsidR="008079E5" w:rsidRDefault="008079E5" w:rsidP="000C7CDA"/>
    <w:p w14:paraId="42D103F3" w14:textId="77777777" w:rsidR="008079E5" w:rsidRDefault="008079E5" w:rsidP="000C7CDA"/>
    <w:p w14:paraId="42D103F4" w14:textId="77777777" w:rsidR="008079E5" w:rsidRDefault="008079E5" w:rsidP="000C7CDA"/>
    <w:p w14:paraId="42D103F5" w14:textId="77777777" w:rsidR="008079E5" w:rsidRDefault="008079E5" w:rsidP="000C7CDA"/>
    <w:p w14:paraId="42D103F6" w14:textId="77777777" w:rsidR="008079E5" w:rsidRDefault="008079E5" w:rsidP="000C7CDA"/>
    <w:p w14:paraId="42D103F7" w14:textId="77777777" w:rsidR="008079E5" w:rsidRDefault="008079E5" w:rsidP="000C7CDA"/>
    <w:p w14:paraId="42D103F8" w14:textId="77777777" w:rsidR="008079E5" w:rsidRDefault="008079E5" w:rsidP="000C7CDA"/>
    <w:p w14:paraId="42D103F9" w14:textId="77777777" w:rsidR="008079E5" w:rsidRDefault="008079E5" w:rsidP="000C7CDA"/>
    <w:p w14:paraId="42D103FA" w14:textId="77777777" w:rsidR="008079E5" w:rsidRDefault="008079E5" w:rsidP="000C7CDA"/>
    <w:p w14:paraId="42D103FB" w14:textId="77777777" w:rsidR="008079E5" w:rsidRDefault="008079E5" w:rsidP="000C7CDA"/>
    <w:p w14:paraId="42D103FC" w14:textId="77777777" w:rsidR="008079E5" w:rsidRDefault="008079E5" w:rsidP="000C7CDA"/>
    <w:p w14:paraId="42D103FD" w14:textId="77777777" w:rsidR="008079E5" w:rsidRDefault="008079E5" w:rsidP="000C7CDA"/>
    <w:p w14:paraId="42D103FE" w14:textId="77777777" w:rsidR="008079E5" w:rsidRDefault="008079E5" w:rsidP="000C7CDA"/>
    <w:p w14:paraId="42D103FF" w14:textId="0245318F" w:rsidR="008079E5" w:rsidRDefault="008079E5" w:rsidP="000C7CDA"/>
    <w:p w14:paraId="338AEE20" w14:textId="77777777" w:rsidR="00291227" w:rsidRDefault="00291227" w:rsidP="000C7CDA"/>
    <w:p w14:paraId="42D10400" w14:textId="77777777" w:rsidR="008079E5" w:rsidRDefault="008079E5" w:rsidP="000C7CDA"/>
    <w:p w14:paraId="42D10401" w14:textId="77777777" w:rsidR="008079E5" w:rsidRDefault="008079E5" w:rsidP="000C7CDA"/>
    <w:p w14:paraId="42D10402" w14:textId="77777777" w:rsidR="008079E5" w:rsidRDefault="008079E5" w:rsidP="000C7CDA"/>
    <w:p w14:paraId="42D10403" w14:textId="0CA34684" w:rsidR="008079E5" w:rsidRDefault="008079E5" w:rsidP="000C7CDA"/>
    <w:p w14:paraId="6ED4DF03" w14:textId="77777777" w:rsidR="00AD59D9" w:rsidRDefault="00AD59D9" w:rsidP="000C7CDA">
      <w:bookmarkStart w:id="0" w:name="_GoBack"/>
      <w:bookmarkEnd w:id="0"/>
    </w:p>
    <w:p w14:paraId="42D10404" w14:textId="77777777" w:rsidR="008079E5" w:rsidRDefault="008079E5" w:rsidP="000C7CDA"/>
    <w:p w14:paraId="42D10405" w14:textId="77777777" w:rsidR="008079E5" w:rsidRDefault="008079E5" w:rsidP="000C7CDA"/>
    <w:p w14:paraId="42D10406" w14:textId="77777777" w:rsidR="00F313EA" w:rsidRDefault="00F313EA" w:rsidP="000C7CDA"/>
    <w:p w14:paraId="42D10407" w14:textId="77777777" w:rsidR="00F313EA" w:rsidRDefault="00F313EA" w:rsidP="000C7CDA"/>
    <w:p w14:paraId="42D10408" w14:textId="77777777" w:rsidR="00F313EA" w:rsidRDefault="00F313EA" w:rsidP="000C7CDA"/>
    <w:p w14:paraId="42D10409" w14:textId="77777777" w:rsidR="008079E5" w:rsidRDefault="008079E5" w:rsidP="000C7CDA"/>
    <w:p w14:paraId="42D1040A" w14:textId="77777777" w:rsidR="00314AE6" w:rsidRDefault="00314AE6" w:rsidP="000C7CDA"/>
    <w:p w14:paraId="42D1040D" w14:textId="77777777" w:rsidR="00D7203F" w:rsidRPr="000778AE" w:rsidRDefault="000778AE" w:rsidP="000C7CDA">
      <w:pPr>
        <w:pStyle w:val="Style1"/>
        <w:ind w:left="720" w:hanging="862"/>
      </w:pPr>
      <w:bookmarkStart w:id="1" w:name="_Toc458584297"/>
      <w:bookmarkStart w:id="2" w:name="_Toc464644614"/>
      <w:r w:rsidRPr="000778AE">
        <w:lastRenderedPageBreak/>
        <w:t>SCOPE &amp; PURPOSE</w:t>
      </w:r>
      <w:bookmarkEnd w:id="1"/>
      <w:bookmarkEnd w:id="2"/>
    </w:p>
    <w:p w14:paraId="42D1040E" w14:textId="3FCE8464" w:rsidR="005F4C17" w:rsidRDefault="005F4C17" w:rsidP="00095FBE">
      <w:pPr>
        <w:ind w:left="-142"/>
        <w:jc w:val="both"/>
      </w:pPr>
    </w:p>
    <w:p w14:paraId="6E3CB189" w14:textId="77777777" w:rsidR="00AD59D9" w:rsidRPr="00AD59D9" w:rsidRDefault="00AD59D9" w:rsidP="00AD59D9">
      <w:pPr>
        <w:spacing w:line="247" w:lineRule="auto"/>
        <w:ind w:left="-5" w:right="261" w:hanging="10"/>
        <w:jc w:val="both"/>
        <w:rPr>
          <w:rFonts w:ascii="Calibri" w:eastAsia="Times New Roman" w:hAnsi="Calibri" w:cs="Calibri"/>
          <w:color w:val="000000"/>
          <w:lang w:eastAsia="en-AU"/>
        </w:rPr>
      </w:pPr>
      <w:r w:rsidRPr="00AD59D9">
        <w:rPr>
          <w:rFonts w:ascii="Calibri" w:eastAsia="Times New Roman" w:hAnsi="Calibri" w:cs="Calibri"/>
          <w:color w:val="000000"/>
          <w:lang w:eastAsia="en-AU"/>
        </w:rPr>
        <w:t xml:space="preserve">This document is relevant to people whom access courses within Fluid Maintenance Australia’s Scope of Registration as a Registered Training Organisation </w:t>
      </w:r>
    </w:p>
    <w:p w14:paraId="2451ECCA" w14:textId="77777777" w:rsidR="005267EF" w:rsidRDefault="005267EF" w:rsidP="005267EF">
      <w:pPr>
        <w:ind w:left="-142"/>
        <w:jc w:val="both"/>
      </w:pPr>
    </w:p>
    <w:p w14:paraId="42D10415" w14:textId="77777777" w:rsidR="000778AE" w:rsidRPr="000778AE" w:rsidRDefault="00081AAB" w:rsidP="005267EF">
      <w:pPr>
        <w:pStyle w:val="Style1"/>
        <w:ind w:left="142" w:hanging="278"/>
      </w:pPr>
      <w:bookmarkStart w:id="3" w:name="_Toc458584298"/>
      <w:bookmarkStart w:id="4" w:name="_Toc464644615"/>
      <w:r>
        <w:t>RESPONSIBILITIES</w:t>
      </w:r>
      <w:bookmarkEnd w:id="3"/>
      <w:bookmarkEnd w:id="4"/>
      <w:r w:rsidR="000778AE" w:rsidRPr="00CA71C2">
        <w:t xml:space="preserve"> </w:t>
      </w:r>
    </w:p>
    <w:p w14:paraId="413ACD2D" w14:textId="77777777" w:rsidR="00314CE9" w:rsidRDefault="00314CE9" w:rsidP="00095FBE">
      <w:pPr>
        <w:pStyle w:val="Default"/>
        <w:jc w:val="both"/>
        <w:rPr>
          <w:sz w:val="22"/>
        </w:rPr>
      </w:pPr>
      <w:bookmarkStart w:id="5" w:name="_Toc458584299"/>
    </w:p>
    <w:p w14:paraId="23D03ED7" w14:textId="03729B05" w:rsidR="00095FBE" w:rsidRDefault="00095FBE" w:rsidP="00314CE9">
      <w:pPr>
        <w:pStyle w:val="Default"/>
        <w:ind w:left="-142"/>
        <w:jc w:val="both"/>
        <w:rPr>
          <w:rFonts w:asciiTheme="minorHAnsi" w:hAnsiTheme="minorHAnsi" w:cstheme="minorHAnsi"/>
          <w:color w:val="auto"/>
          <w:sz w:val="20"/>
          <w:szCs w:val="22"/>
        </w:rPr>
      </w:pPr>
      <w:r w:rsidRPr="00566930">
        <w:rPr>
          <w:sz w:val="22"/>
        </w:rPr>
        <w:t>Training Management Group</w:t>
      </w:r>
      <w:r w:rsidR="00314CE9">
        <w:rPr>
          <w:sz w:val="22"/>
        </w:rPr>
        <w:t>: r</w:t>
      </w:r>
      <w:r w:rsidRPr="00566930">
        <w:rPr>
          <w:sz w:val="22"/>
        </w:rPr>
        <w:t>esponsible for ensuring the overall compliance to this procedure and ensuring</w:t>
      </w:r>
      <w:r>
        <w:rPr>
          <w:sz w:val="22"/>
        </w:rPr>
        <w:t xml:space="preserve"> effective</w:t>
      </w:r>
      <w:r w:rsidRPr="00566930">
        <w:rPr>
          <w:sz w:val="22"/>
        </w:rPr>
        <w:t xml:space="preserve"> management of liaising with the relevant industry experts</w:t>
      </w:r>
      <w:r>
        <w:rPr>
          <w:sz w:val="22"/>
        </w:rPr>
        <w:t>.</w:t>
      </w:r>
      <w:r w:rsidRPr="00566930">
        <w:rPr>
          <w:rFonts w:asciiTheme="minorHAnsi" w:hAnsiTheme="minorHAnsi" w:cstheme="minorHAnsi"/>
          <w:color w:val="auto"/>
          <w:sz w:val="20"/>
          <w:szCs w:val="22"/>
        </w:rPr>
        <w:t xml:space="preserve"> </w:t>
      </w:r>
    </w:p>
    <w:p w14:paraId="73CC183F" w14:textId="77777777" w:rsidR="00314CE9" w:rsidRDefault="00314CE9" w:rsidP="00095FBE">
      <w:pPr>
        <w:jc w:val="both"/>
        <w:rPr>
          <w:rFonts w:cstheme="minorHAnsi"/>
          <w:sz w:val="20"/>
        </w:rPr>
      </w:pPr>
    </w:p>
    <w:p w14:paraId="740E75A2" w14:textId="7454C9BC" w:rsidR="00095FBE" w:rsidRDefault="00095FBE" w:rsidP="00314CE9">
      <w:pPr>
        <w:ind w:left="-142"/>
        <w:jc w:val="both"/>
      </w:pPr>
      <w:r>
        <w:t>Industry Partner Responsibility;</w:t>
      </w:r>
    </w:p>
    <w:p w14:paraId="69C3B9AA" w14:textId="77777777" w:rsidR="00095FBE" w:rsidRDefault="00095FBE" w:rsidP="00314CE9">
      <w:pPr>
        <w:pStyle w:val="ListParagraph"/>
        <w:numPr>
          <w:ilvl w:val="0"/>
          <w:numId w:val="16"/>
        </w:numPr>
        <w:ind w:left="567"/>
        <w:jc w:val="both"/>
      </w:pPr>
      <w:r>
        <w:t>To provide ethical and accurate information</w:t>
      </w:r>
    </w:p>
    <w:p w14:paraId="14B6ABAB" w14:textId="77777777" w:rsidR="00095FBE" w:rsidRDefault="00095FBE" w:rsidP="00314CE9">
      <w:pPr>
        <w:pStyle w:val="ListParagraph"/>
        <w:numPr>
          <w:ilvl w:val="0"/>
          <w:numId w:val="16"/>
        </w:numPr>
        <w:ind w:left="567"/>
        <w:jc w:val="both"/>
      </w:pPr>
      <w:r>
        <w:t>To provide FMA permission to use information provided in industry for advertising and marketing purposes</w:t>
      </w:r>
    </w:p>
    <w:p w14:paraId="3EE46ABB" w14:textId="77777777" w:rsidR="00095FBE" w:rsidRDefault="00095FBE" w:rsidP="00314CE9">
      <w:pPr>
        <w:pStyle w:val="ListParagraph"/>
        <w:numPr>
          <w:ilvl w:val="0"/>
          <w:numId w:val="16"/>
        </w:numPr>
        <w:ind w:left="567"/>
        <w:jc w:val="both"/>
      </w:pPr>
      <w:r>
        <w:t>To provide feedback in relation to information requested by FMA in a timely manner</w:t>
      </w:r>
    </w:p>
    <w:p w14:paraId="5BDF56D5" w14:textId="77777777" w:rsidR="00095FBE" w:rsidRDefault="00095FBE" w:rsidP="00314CE9">
      <w:pPr>
        <w:pStyle w:val="ListParagraph"/>
        <w:numPr>
          <w:ilvl w:val="0"/>
          <w:numId w:val="16"/>
        </w:numPr>
        <w:ind w:left="567"/>
        <w:jc w:val="both"/>
      </w:pPr>
      <w:r>
        <w:t>To seek permission from FMA to use information received through industry liaison in advertising and marketing</w:t>
      </w:r>
    </w:p>
    <w:p w14:paraId="22130D7C" w14:textId="77777777" w:rsidR="00095FBE" w:rsidRDefault="00095FBE" w:rsidP="00314CE9">
      <w:pPr>
        <w:ind w:left="567"/>
        <w:jc w:val="both"/>
      </w:pPr>
    </w:p>
    <w:p w14:paraId="20902CBF" w14:textId="19E2FBC0" w:rsidR="00314CE9" w:rsidRDefault="00314CE9" w:rsidP="005267EF">
      <w:pPr>
        <w:pStyle w:val="Style1"/>
        <w:ind w:left="142" w:hanging="278"/>
      </w:pPr>
      <w:bookmarkStart w:id="6" w:name="_Toc458584300"/>
      <w:bookmarkStart w:id="7" w:name="_Toc464644616"/>
      <w:bookmarkEnd w:id="5"/>
      <w:r>
        <w:t>POLICY</w:t>
      </w:r>
      <w:bookmarkEnd w:id="7"/>
    </w:p>
    <w:p w14:paraId="2F5F1094" w14:textId="4654EE96" w:rsidR="00314CE9" w:rsidRDefault="00314CE9" w:rsidP="00314CE9">
      <w:pPr>
        <w:jc w:val="both"/>
      </w:pPr>
    </w:p>
    <w:bookmarkEnd w:id="6"/>
    <w:p w14:paraId="2F2E5609" w14:textId="77777777" w:rsidR="00AD59D9" w:rsidRDefault="00AD59D9" w:rsidP="00AD59D9">
      <w:pPr>
        <w:ind w:left="-5" w:right="261"/>
        <w:jc w:val="both"/>
      </w:pPr>
      <w:r>
        <w:t xml:space="preserve">Access generally refers to the ability to participate in training. Improving access might include improving physical access to a training venue, ensuring that selection criteria do not discriminate against clients, adapting marketing activities to encourage all clients and so on. </w:t>
      </w:r>
    </w:p>
    <w:p w14:paraId="1FA750F7" w14:textId="77777777" w:rsidR="00AD59D9" w:rsidRDefault="00AD59D9" w:rsidP="00AD59D9">
      <w:pPr>
        <w:spacing w:line="259" w:lineRule="auto"/>
        <w:jc w:val="both"/>
      </w:pPr>
      <w:r>
        <w:t xml:space="preserve"> </w:t>
      </w:r>
    </w:p>
    <w:p w14:paraId="70D9E852" w14:textId="7D1CE4F7" w:rsidR="00AD59D9" w:rsidRDefault="00AD59D9" w:rsidP="00AD59D9">
      <w:pPr>
        <w:ind w:left="-5" w:right="261"/>
        <w:jc w:val="both"/>
      </w:pPr>
      <w:r>
        <w:t xml:space="preserve">Equity is a term used to cover issues relating to access to Vocational Education Training (“VET”), participation in VET, and achievement of outcomes in VET. Equity issues range from providing a supportive learning environment to adjusting assessments to meet individual circumstances, from policies on fee reduction to development of inclusive training materials. Basically, equity refers to the ability to achieve results in training and to receive training in an inclusive environment with inclusive materials. </w:t>
      </w:r>
    </w:p>
    <w:p w14:paraId="72B294C3" w14:textId="77777777" w:rsidR="00AD59D9" w:rsidRDefault="00AD59D9" w:rsidP="00AD59D9">
      <w:pPr>
        <w:spacing w:line="259" w:lineRule="auto"/>
        <w:jc w:val="both"/>
      </w:pPr>
      <w:r>
        <w:t xml:space="preserve"> </w:t>
      </w:r>
    </w:p>
    <w:p w14:paraId="4801EA29" w14:textId="77777777" w:rsidR="00AD59D9" w:rsidRDefault="00AD59D9" w:rsidP="00AD59D9">
      <w:pPr>
        <w:ind w:left="-5" w:right="261"/>
        <w:jc w:val="both"/>
      </w:pPr>
      <w:r>
        <w:t xml:space="preserve">An inclusive environment or set of materials is one that acknowledges and values the differences between people and cultures. It recognises and embraces differences and provides the means by which all clients have the best opportunity to achieve their goals. </w:t>
      </w:r>
    </w:p>
    <w:p w14:paraId="0C810156" w14:textId="77777777" w:rsidR="00AD59D9" w:rsidRDefault="00AD59D9" w:rsidP="00AD59D9">
      <w:pPr>
        <w:spacing w:line="259" w:lineRule="auto"/>
        <w:jc w:val="both"/>
      </w:pPr>
      <w:r>
        <w:t xml:space="preserve"> </w:t>
      </w:r>
    </w:p>
    <w:p w14:paraId="4C1CFCEF" w14:textId="77F13C36" w:rsidR="00AD59D9" w:rsidRDefault="00AD59D9" w:rsidP="00AD59D9">
      <w:pPr>
        <w:ind w:left="-5" w:right="261"/>
        <w:jc w:val="both"/>
      </w:pPr>
      <w:r>
        <w:t>We are committed to providing opportunities to all people for advancement in training on an equitable basis, including industries where women are under-represented, people with disabilities, people from non</w:t>
      </w:r>
      <w:r>
        <w:t xml:space="preserve"> </w:t>
      </w:r>
      <w:r>
        <w:t xml:space="preserve">English speaking backgrounds, indigenous Australians and rural and remote learners. </w:t>
      </w:r>
    </w:p>
    <w:p w14:paraId="0F203B9D" w14:textId="77777777" w:rsidR="00AD59D9" w:rsidRDefault="00AD59D9" w:rsidP="00AD59D9">
      <w:pPr>
        <w:spacing w:line="259" w:lineRule="auto"/>
        <w:jc w:val="both"/>
      </w:pPr>
      <w:r>
        <w:t xml:space="preserve"> </w:t>
      </w:r>
    </w:p>
    <w:p w14:paraId="629BA0E4" w14:textId="77777777" w:rsidR="00AD59D9" w:rsidRDefault="00AD59D9" w:rsidP="00AD59D9">
      <w:pPr>
        <w:ind w:left="-5" w:right="261"/>
        <w:jc w:val="both"/>
      </w:pPr>
      <w:r>
        <w:t xml:space="preserve">The Equal Opportunity Act (1995) makes it unlawful for anyone to be treated unfairly or discriminated against. All staff, contractors, licensees and their sub-contractors engaged by FMA will recognise the diverse needs of participants/clients and shall not discriminate toward any individual or group in any form. Staff, contractors, licensees and their sub-contractors will be made aware of, and implement, the Access &amp; Equity Policy &amp; Procedure. </w:t>
      </w:r>
    </w:p>
    <w:p w14:paraId="07784723" w14:textId="77777777" w:rsidR="00AD59D9" w:rsidRDefault="00AD59D9" w:rsidP="00AD59D9">
      <w:pPr>
        <w:spacing w:line="259" w:lineRule="auto"/>
        <w:jc w:val="both"/>
      </w:pPr>
      <w:r>
        <w:t xml:space="preserve"> </w:t>
      </w:r>
    </w:p>
    <w:p w14:paraId="2C4DCA4E" w14:textId="77777777" w:rsidR="00AD59D9" w:rsidRDefault="00AD59D9" w:rsidP="00AD59D9">
      <w:pPr>
        <w:ind w:left="-5" w:right="261"/>
        <w:jc w:val="both"/>
      </w:pPr>
      <w:r>
        <w:t xml:space="preserve">All participants have equal access to our programs irrespective of their gender, culture, linguistic background, race, socio-economic background; disability, age, marital status, pregnancy, sexual orientation, special needs or carer’s responsibilities. </w:t>
      </w:r>
    </w:p>
    <w:p w14:paraId="3F56DBD7" w14:textId="77777777" w:rsidR="00AD59D9" w:rsidRDefault="00AD59D9" w:rsidP="00AD59D9">
      <w:pPr>
        <w:spacing w:line="259" w:lineRule="auto"/>
        <w:jc w:val="both"/>
      </w:pPr>
      <w:r>
        <w:lastRenderedPageBreak/>
        <w:t xml:space="preserve"> </w:t>
      </w:r>
    </w:p>
    <w:p w14:paraId="023CA837" w14:textId="77777777" w:rsidR="00AD59D9" w:rsidRDefault="00AD59D9" w:rsidP="00AD59D9">
      <w:pPr>
        <w:ind w:left="-5" w:right="261"/>
        <w:jc w:val="both"/>
      </w:pPr>
      <w:r>
        <w:t xml:space="preserve">We ensure that their selection criterion is non-discriminatory, providing fair access to training for disadvantaged people. </w:t>
      </w:r>
    </w:p>
    <w:p w14:paraId="6C0E090A" w14:textId="77777777" w:rsidR="00AD59D9" w:rsidRDefault="00AD59D9" w:rsidP="00AD59D9">
      <w:pPr>
        <w:spacing w:line="259" w:lineRule="auto"/>
        <w:jc w:val="both"/>
      </w:pPr>
      <w:r>
        <w:t xml:space="preserve"> </w:t>
      </w:r>
    </w:p>
    <w:p w14:paraId="21D097C9" w14:textId="77777777" w:rsidR="00AD59D9" w:rsidRDefault="00AD59D9" w:rsidP="00AD59D9">
      <w:pPr>
        <w:spacing w:after="435"/>
        <w:ind w:left="-5" w:right="261"/>
        <w:jc w:val="both"/>
      </w:pPr>
      <w:r>
        <w:t xml:space="preserve">All participants who meet the entry requirements (if applicable) as prescribed by the appropriate National Training Package, will be accepted into any program within our scope of registration. </w:t>
      </w:r>
    </w:p>
    <w:p w14:paraId="1A1F1727" w14:textId="281DFF1C" w:rsidR="00AD59D9" w:rsidRDefault="00AD59D9" w:rsidP="00AD59D9">
      <w:pPr>
        <w:spacing w:after="435"/>
        <w:ind w:left="-5" w:right="261"/>
        <w:jc w:val="both"/>
      </w:pPr>
      <w:r>
        <w:t xml:space="preserve">All staff and participants, in their induction to our organisation or into a training program, are made aware of our Access and Equity Policy (See the Student Handbook). </w:t>
      </w:r>
    </w:p>
    <w:p w14:paraId="35C7F734" w14:textId="77777777" w:rsidR="00AD59D9" w:rsidRDefault="00AD59D9" w:rsidP="00AD59D9">
      <w:pPr>
        <w:ind w:left="-5" w:right="261"/>
        <w:jc w:val="both"/>
      </w:pPr>
      <w:r>
        <w:t xml:space="preserve">Any issues or questions raised regarding access and equity can be directed Fluid Maintenance Australia’s Training Management Group </w:t>
      </w:r>
    </w:p>
    <w:p w14:paraId="53635D08" w14:textId="77777777" w:rsidR="00AD59D9" w:rsidRDefault="00AD59D9" w:rsidP="00AD59D9">
      <w:pPr>
        <w:spacing w:line="259" w:lineRule="auto"/>
        <w:jc w:val="both"/>
      </w:pPr>
      <w:r>
        <w:t xml:space="preserve"> </w:t>
      </w:r>
    </w:p>
    <w:p w14:paraId="25F4DF43" w14:textId="77777777" w:rsidR="00AD59D9" w:rsidRDefault="00AD59D9" w:rsidP="00AD59D9">
      <w:pPr>
        <w:ind w:left="-5" w:right="261"/>
        <w:jc w:val="both"/>
      </w:pPr>
      <w:r>
        <w:t xml:space="preserve">Students and staff will be advised of selection/enrolment orientation procedures, course information, vocational outcome, fees and charges, Language, Literacy and Numeracy support, Appeals and Complaints Procedures and any external support arrangements prior to enrolment.  </w:t>
      </w:r>
    </w:p>
    <w:p w14:paraId="3E25E1A2" w14:textId="77777777" w:rsidR="00AD59D9" w:rsidRDefault="00AD59D9" w:rsidP="00AD59D9">
      <w:pPr>
        <w:spacing w:line="259" w:lineRule="auto"/>
        <w:jc w:val="both"/>
      </w:pPr>
      <w:r>
        <w:t xml:space="preserve"> </w:t>
      </w:r>
    </w:p>
    <w:p w14:paraId="4E4DEAF4" w14:textId="77777777" w:rsidR="00AD59D9" w:rsidRDefault="00AD59D9" w:rsidP="00AD59D9">
      <w:pPr>
        <w:spacing w:after="37"/>
        <w:ind w:left="-5" w:right="261"/>
        <w:jc w:val="both"/>
      </w:pPr>
      <w:r>
        <w:t xml:space="preserve">Some examples of our support include: </w:t>
      </w:r>
    </w:p>
    <w:p w14:paraId="1E3B6A16" w14:textId="77777777" w:rsidR="00AD59D9" w:rsidRDefault="00AD59D9" w:rsidP="00AD59D9">
      <w:pPr>
        <w:numPr>
          <w:ilvl w:val="0"/>
          <w:numId w:val="22"/>
        </w:numPr>
        <w:spacing w:after="42" w:line="247" w:lineRule="auto"/>
        <w:ind w:right="261" w:hanging="361"/>
        <w:jc w:val="both"/>
      </w:pPr>
      <w:r>
        <w:t xml:space="preserve">We are able to offer Language and Literacy support of participants who have difficulty with written or spoken English. </w:t>
      </w:r>
    </w:p>
    <w:p w14:paraId="6861807E" w14:textId="77777777" w:rsidR="00AD59D9" w:rsidRDefault="00AD59D9" w:rsidP="00AD59D9">
      <w:pPr>
        <w:numPr>
          <w:ilvl w:val="0"/>
          <w:numId w:val="22"/>
        </w:numPr>
        <w:spacing w:line="247" w:lineRule="auto"/>
        <w:ind w:right="261" w:hanging="361"/>
        <w:jc w:val="both"/>
      </w:pPr>
      <w:r>
        <w:t xml:space="preserve">Equally so, we are able to support participants with numeracy issues. </w:t>
      </w:r>
    </w:p>
    <w:p w14:paraId="7F8B4BF1" w14:textId="77777777" w:rsidR="00AD59D9" w:rsidRDefault="00AD59D9" w:rsidP="00AD59D9">
      <w:pPr>
        <w:numPr>
          <w:ilvl w:val="0"/>
          <w:numId w:val="22"/>
        </w:numPr>
        <w:spacing w:after="42" w:line="247" w:lineRule="auto"/>
        <w:ind w:right="261" w:hanging="361"/>
        <w:jc w:val="both"/>
      </w:pPr>
      <w:r>
        <w:t xml:space="preserve">We will endeavour to accommodate the unique needs of expectant or new parents or participants with other carer’s responsibilities. </w:t>
      </w:r>
    </w:p>
    <w:p w14:paraId="1DED6B84" w14:textId="77777777" w:rsidR="00AD59D9" w:rsidRDefault="00AD59D9" w:rsidP="00AD59D9">
      <w:pPr>
        <w:numPr>
          <w:ilvl w:val="0"/>
          <w:numId w:val="22"/>
        </w:numPr>
        <w:spacing w:after="42" w:line="247" w:lineRule="auto"/>
        <w:ind w:right="261" w:hanging="361"/>
        <w:jc w:val="both"/>
      </w:pPr>
      <w:r>
        <w:t xml:space="preserve">The ability to modify learning and assessment tasks to accommodate the unique cultural or personal needs of participants. </w:t>
      </w:r>
    </w:p>
    <w:p w14:paraId="3842704F" w14:textId="77777777" w:rsidR="00AD59D9" w:rsidRDefault="00AD59D9" w:rsidP="00AD59D9">
      <w:pPr>
        <w:numPr>
          <w:ilvl w:val="0"/>
          <w:numId w:val="22"/>
        </w:numPr>
        <w:spacing w:after="42" w:line="247" w:lineRule="auto"/>
        <w:ind w:right="261" w:hanging="361"/>
        <w:jc w:val="both"/>
      </w:pPr>
      <w:r>
        <w:t xml:space="preserve">The principles of Access and Equity are covered at our staff induction and regularly reviewed to ensure the correct interpretation and application. </w:t>
      </w:r>
    </w:p>
    <w:p w14:paraId="67DB59DE" w14:textId="5D4B4CE7" w:rsidR="00AD59D9" w:rsidRDefault="00AD59D9" w:rsidP="00AD59D9">
      <w:pPr>
        <w:numPr>
          <w:ilvl w:val="0"/>
          <w:numId w:val="22"/>
        </w:numPr>
        <w:spacing w:after="2" w:line="237" w:lineRule="auto"/>
        <w:ind w:right="261" w:hanging="361"/>
        <w:jc w:val="both"/>
      </w:pPr>
      <w:r>
        <w:t xml:space="preserve">Enrolment procedures will be free of any form of discrimination, and if an individual does not meet the entry requirements, all attempts will be made to assist them to identify all alternative courses of action. </w:t>
      </w:r>
    </w:p>
    <w:p w14:paraId="65138B50" w14:textId="77777777" w:rsidR="00AD59D9" w:rsidRDefault="00AD59D9" w:rsidP="00AD59D9">
      <w:pPr>
        <w:spacing w:after="37" w:line="259" w:lineRule="auto"/>
        <w:ind w:left="721"/>
      </w:pPr>
      <w:r>
        <w:t xml:space="preserve"> </w:t>
      </w:r>
    </w:p>
    <w:p w14:paraId="39D46AF5" w14:textId="77777777" w:rsidR="00AD59D9" w:rsidRDefault="00AD59D9" w:rsidP="00AD59D9">
      <w:pPr>
        <w:tabs>
          <w:tab w:val="center" w:pos="1193"/>
        </w:tabs>
        <w:spacing w:line="259" w:lineRule="auto"/>
        <w:ind w:left="-15"/>
      </w:pPr>
      <w:r>
        <w:rPr>
          <w:b/>
          <w:sz w:val="24"/>
        </w:rPr>
        <w:t>3.1</w:t>
      </w:r>
      <w:r>
        <w:rPr>
          <w:rFonts w:ascii="Arial" w:hAnsi="Arial" w:cs="Arial"/>
          <w:b/>
          <w:sz w:val="24"/>
        </w:rPr>
        <w:t xml:space="preserve"> </w:t>
      </w:r>
      <w:r>
        <w:rPr>
          <w:rFonts w:ascii="Arial" w:hAnsi="Arial" w:cs="Arial"/>
          <w:b/>
          <w:sz w:val="24"/>
        </w:rPr>
        <w:tab/>
      </w:r>
      <w:r>
        <w:rPr>
          <w:b/>
          <w:sz w:val="24"/>
        </w:rPr>
        <w:t xml:space="preserve">Feedback </w:t>
      </w:r>
    </w:p>
    <w:p w14:paraId="25180C40" w14:textId="77777777" w:rsidR="00AD59D9" w:rsidRDefault="00AD59D9" w:rsidP="00AD59D9">
      <w:pPr>
        <w:spacing w:line="259" w:lineRule="auto"/>
      </w:pPr>
      <w:r>
        <w:t xml:space="preserve"> </w:t>
      </w:r>
    </w:p>
    <w:p w14:paraId="269AC586" w14:textId="77777777" w:rsidR="00AD59D9" w:rsidRDefault="00AD59D9" w:rsidP="00AD59D9">
      <w:pPr>
        <w:ind w:left="-5" w:right="261"/>
      </w:pPr>
      <w:r>
        <w:t xml:space="preserve">Feedback on this policy can be submitted to Fluid Maintenance Australia’s Training Management Group. </w:t>
      </w:r>
    </w:p>
    <w:p w14:paraId="1A986A18" w14:textId="77777777" w:rsidR="00AD59D9" w:rsidRDefault="00AD59D9" w:rsidP="00AD59D9">
      <w:pPr>
        <w:spacing w:after="37" w:line="259" w:lineRule="auto"/>
      </w:pPr>
      <w:r>
        <w:t xml:space="preserve"> </w:t>
      </w:r>
    </w:p>
    <w:p w14:paraId="642AC7F9" w14:textId="77777777" w:rsidR="00AD59D9" w:rsidRDefault="00AD59D9" w:rsidP="00AD59D9">
      <w:pPr>
        <w:pStyle w:val="Heading2"/>
        <w:tabs>
          <w:tab w:val="center" w:pos="1303"/>
        </w:tabs>
        <w:ind w:left="-15"/>
      </w:pPr>
      <w:bookmarkStart w:id="8" w:name="_Toc464644617"/>
      <w:r w:rsidRPr="00AD59D9">
        <w:rPr>
          <w:rFonts w:asciiTheme="minorHAnsi" w:eastAsiaTheme="minorHAnsi" w:hAnsiTheme="minorHAnsi" w:cstheme="minorBidi"/>
          <w:bCs w:val="0"/>
          <w:color w:val="auto"/>
          <w:sz w:val="24"/>
          <w:szCs w:val="22"/>
        </w:rPr>
        <w:t>3.2</w:t>
      </w:r>
      <w:r>
        <w:rPr>
          <w:rFonts w:ascii="Arial" w:hAnsi="Arial" w:cs="Arial"/>
        </w:rPr>
        <w:t xml:space="preserve"> </w:t>
      </w:r>
      <w:r>
        <w:rPr>
          <w:rFonts w:ascii="Arial" w:hAnsi="Arial" w:cs="Arial"/>
        </w:rPr>
        <w:tab/>
      </w:r>
      <w:r w:rsidRPr="00AD59D9">
        <w:rPr>
          <w:rFonts w:asciiTheme="minorHAnsi" w:eastAsiaTheme="minorHAnsi" w:hAnsiTheme="minorHAnsi" w:cstheme="minorBidi"/>
          <w:bCs w:val="0"/>
          <w:color w:val="auto"/>
          <w:sz w:val="24"/>
          <w:szCs w:val="22"/>
        </w:rPr>
        <w:t>Compliance</w:t>
      </w:r>
      <w:bookmarkEnd w:id="8"/>
      <w:r w:rsidRPr="00AD59D9">
        <w:rPr>
          <w:rFonts w:asciiTheme="minorHAnsi" w:eastAsiaTheme="minorHAnsi" w:hAnsiTheme="minorHAnsi" w:cstheme="minorBidi"/>
          <w:bCs w:val="0"/>
          <w:color w:val="auto"/>
          <w:sz w:val="24"/>
          <w:szCs w:val="22"/>
        </w:rPr>
        <w:t xml:space="preserve"> </w:t>
      </w:r>
    </w:p>
    <w:p w14:paraId="58469092" w14:textId="77777777" w:rsidR="00AD59D9" w:rsidRDefault="00AD59D9" w:rsidP="00AD59D9">
      <w:pPr>
        <w:spacing w:line="259" w:lineRule="auto"/>
      </w:pPr>
      <w:r>
        <w:t xml:space="preserve"> </w:t>
      </w:r>
    </w:p>
    <w:p w14:paraId="5CD9685C" w14:textId="67C5D50E" w:rsidR="005267EF" w:rsidRDefault="00AD59D9" w:rsidP="00AD59D9">
      <w:pPr>
        <w:ind w:left="-142"/>
      </w:pPr>
      <w:r>
        <w:t>Noncompliance</w:t>
      </w:r>
      <w:r>
        <w:t xml:space="preserve"> to this policy/ may result in disciplinary action up to and including dismissal or exclusion from further participation in the training or course</w:t>
      </w:r>
    </w:p>
    <w:p w14:paraId="59E25591" w14:textId="2DF3FAA8" w:rsidR="00AD59D9" w:rsidRDefault="00AD59D9" w:rsidP="00AD59D9">
      <w:pPr>
        <w:ind w:left="-142"/>
      </w:pPr>
    </w:p>
    <w:p w14:paraId="03E3C53E" w14:textId="3C30A249" w:rsidR="00AD59D9" w:rsidRDefault="00AD59D9" w:rsidP="00AD59D9">
      <w:pPr>
        <w:ind w:left="-142"/>
      </w:pPr>
    </w:p>
    <w:p w14:paraId="30CE9EE4" w14:textId="79555211" w:rsidR="00AD59D9" w:rsidRDefault="00AD59D9" w:rsidP="00AD59D9">
      <w:pPr>
        <w:ind w:left="-142"/>
      </w:pPr>
    </w:p>
    <w:p w14:paraId="593A472B" w14:textId="77777777" w:rsidR="00AD59D9" w:rsidRDefault="00AD59D9" w:rsidP="00AD59D9">
      <w:pPr>
        <w:ind w:left="-142"/>
        <w:rPr>
          <w:sz w:val="24"/>
          <w:szCs w:val="24"/>
        </w:rPr>
      </w:pPr>
    </w:p>
    <w:p w14:paraId="42D10527" w14:textId="77777777" w:rsidR="001E3FB6" w:rsidRPr="00444528" w:rsidRDefault="000778AE" w:rsidP="005267EF">
      <w:pPr>
        <w:pStyle w:val="Style1"/>
        <w:ind w:left="142" w:hanging="278"/>
      </w:pPr>
      <w:bookmarkStart w:id="9" w:name="_Toc458584302"/>
      <w:bookmarkStart w:id="10" w:name="_Toc464644618"/>
      <w:r w:rsidRPr="00444528">
        <w:lastRenderedPageBreak/>
        <w:t>DOCUMENTATION &amp; RECORDS</w:t>
      </w:r>
      <w:bookmarkEnd w:id="9"/>
      <w:bookmarkEnd w:id="10"/>
    </w:p>
    <w:p w14:paraId="42D10528" w14:textId="77777777" w:rsidR="001E3FB6" w:rsidRPr="001E3FB6" w:rsidRDefault="001E3FB6" w:rsidP="005267EF">
      <w:pPr>
        <w:ind w:left="142"/>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826"/>
        <w:gridCol w:w="1792"/>
        <w:gridCol w:w="1219"/>
        <w:gridCol w:w="1904"/>
      </w:tblGrid>
      <w:tr w:rsidR="00915779" w:rsidRPr="003660DC" w14:paraId="735765E8" w14:textId="77777777" w:rsidTr="00936F63">
        <w:trPr>
          <w:trHeight w:val="457"/>
        </w:trPr>
        <w:tc>
          <w:tcPr>
            <w:tcW w:w="3414" w:type="dxa"/>
            <w:shd w:val="clear" w:color="auto" w:fill="F2F2F2" w:themeFill="background1" w:themeFillShade="F2"/>
            <w:vAlign w:val="center"/>
          </w:tcPr>
          <w:p w14:paraId="5216A18B" w14:textId="77777777" w:rsidR="00915779" w:rsidRPr="00546743" w:rsidRDefault="00915779" w:rsidP="00936F63">
            <w:pPr>
              <w:keepNext/>
              <w:keepLines/>
              <w:ind w:left="142"/>
              <w:jc w:val="center"/>
              <w:rPr>
                <w:rFonts w:cs="Arial"/>
                <w:b/>
                <w:bCs/>
                <w:sz w:val="20"/>
              </w:rPr>
            </w:pPr>
            <w:r w:rsidRPr="00546743">
              <w:rPr>
                <w:rFonts w:cs="Arial"/>
                <w:b/>
                <w:bCs/>
                <w:sz w:val="20"/>
              </w:rPr>
              <w:t>Number and Title</w:t>
            </w:r>
          </w:p>
        </w:tc>
        <w:tc>
          <w:tcPr>
            <w:tcW w:w="1826" w:type="dxa"/>
            <w:shd w:val="clear" w:color="auto" w:fill="F2F2F2" w:themeFill="background1" w:themeFillShade="F2"/>
            <w:vAlign w:val="center"/>
          </w:tcPr>
          <w:p w14:paraId="4940215F" w14:textId="77777777" w:rsidR="00915779" w:rsidRPr="00546743" w:rsidRDefault="00915779" w:rsidP="00936F63">
            <w:pPr>
              <w:keepNext/>
              <w:keepLines/>
              <w:ind w:left="142"/>
              <w:jc w:val="center"/>
              <w:rPr>
                <w:rFonts w:cs="Arial"/>
                <w:b/>
                <w:bCs/>
                <w:sz w:val="20"/>
              </w:rPr>
            </w:pPr>
            <w:r>
              <w:rPr>
                <w:rFonts w:cs="Arial"/>
                <w:b/>
                <w:bCs/>
                <w:sz w:val="20"/>
              </w:rPr>
              <w:t xml:space="preserve">Document </w:t>
            </w:r>
            <w:r w:rsidRPr="00546743">
              <w:rPr>
                <w:rFonts w:cs="Arial"/>
                <w:b/>
                <w:bCs/>
                <w:sz w:val="20"/>
              </w:rPr>
              <w:t>Storage Location</w:t>
            </w:r>
          </w:p>
        </w:tc>
        <w:tc>
          <w:tcPr>
            <w:tcW w:w="1792" w:type="dxa"/>
            <w:shd w:val="clear" w:color="auto" w:fill="F2F2F2" w:themeFill="background1" w:themeFillShade="F2"/>
            <w:vAlign w:val="center"/>
          </w:tcPr>
          <w:p w14:paraId="3C4D051D" w14:textId="77777777" w:rsidR="00915779" w:rsidRPr="00546743" w:rsidRDefault="00915779" w:rsidP="00936F63">
            <w:pPr>
              <w:keepNext/>
              <w:keepLines/>
              <w:jc w:val="center"/>
              <w:rPr>
                <w:rFonts w:cs="Arial"/>
                <w:b/>
                <w:bCs/>
                <w:sz w:val="20"/>
              </w:rPr>
            </w:pPr>
            <w:r w:rsidRPr="00546743">
              <w:rPr>
                <w:rFonts w:cs="Arial"/>
                <w:b/>
                <w:bCs/>
                <w:sz w:val="20"/>
              </w:rPr>
              <w:t>Record Location</w:t>
            </w:r>
          </w:p>
        </w:tc>
        <w:tc>
          <w:tcPr>
            <w:tcW w:w="1219" w:type="dxa"/>
            <w:shd w:val="clear" w:color="auto" w:fill="F2F2F2" w:themeFill="background1" w:themeFillShade="F2"/>
            <w:vAlign w:val="center"/>
          </w:tcPr>
          <w:p w14:paraId="71CA0DF0" w14:textId="77777777" w:rsidR="00915779" w:rsidRPr="00546743" w:rsidRDefault="00915779" w:rsidP="00936F63">
            <w:pPr>
              <w:keepNext/>
              <w:keepLines/>
              <w:jc w:val="center"/>
              <w:rPr>
                <w:rFonts w:cs="Arial"/>
                <w:b/>
                <w:bCs/>
                <w:sz w:val="20"/>
              </w:rPr>
            </w:pPr>
            <w:r w:rsidRPr="00546743">
              <w:rPr>
                <w:rFonts w:cs="Arial"/>
                <w:b/>
                <w:bCs/>
                <w:sz w:val="20"/>
              </w:rPr>
              <w:t>Retention Period</w:t>
            </w:r>
          </w:p>
        </w:tc>
        <w:tc>
          <w:tcPr>
            <w:tcW w:w="1904" w:type="dxa"/>
            <w:shd w:val="clear" w:color="auto" w:fill="F2F2F2" w:themeFill="background1" w:themeFillShade="F2"/>
            <w:vAlign w:val="center"/>
          </w:tcPr>
          <w:p w14:paraId="6F85994F" w14:textId="77777777" w:rsidR="00915779" w:rsidRPr="00546743" w:rsidRDefault="00915779" w:rsidP="00936F63">
            <w:pPr>
              <w:keepNext/>
              <w:keepLines/>
              <w:ind w:left="142"/>
              <w:jc w:val="center"/>
              <w:rPr>
                <w:rFonts w:cs="Arial"/>
                <w:b/>
                <w:bCs/>
                <w:sz w:val="20"/>
              </w:rPr>
            </w:pPr>
            <w:r w:rsidRPr="00546743">
              <w:rPr>
                <w:rFonts w:cs="Arial"/>
                <w:b/>
                <w:bCs/>
                <w:sz w:val="20"/>
              </w:rPr>
              <w:t>Responsibility</w:t>
            </w:r>
          </w:p>
        </w:tc>
      </w:tr>
      <w:tr w:rsidR="00915779" w:rsidRPr="00B3029D" w14:paraId="642909F7" w14:textId="77777777" w:rsidTr="00936F63">
        <w:tc>
          <w:tcPr>
            <w:tcW w:w="3414" w:type="dxa"/>
            <w:vAlign w:val="center"/>
          </w:tcPr>
          <w:p w14:paraId="7AED5902" w14:textId="4A7DA41D" w:rsidR="00915779" w:rsidRPr="00546743" w:rsidRDefault="00915779" w:rsidP="00936F63">
            <w:pPr>
              <w:keepNext/>
              <w:spacing w:beforeLines="40" w:before="96" w:afterLines="40" w:after="96"/>
              <w:ind w:firstLine="30"/>
              <w:rPr>
                <w:color w:val="000000" w:themeColor="text1"/>
                <w:sz w:val="20"/>
              </w:rPr>
            </w:pPr>
          </w:p>
        </w:tc>
        <w:tc>
          <w:tcPr>
            <w:tcW w:w="1826" w:type="dxa"/>
            <w:vAlign w:val="center"/>
          </w:tcPr>
          <w:p w14:paraId="7E7C98EF" w14:textId="4B8F10A0" w:rsidR="00915779" w:rsidRPr="00546743" w:rsidRDefault="00915779" w:rsidP="00936F63">
            <w:pPr>
              <w:keepNext/>
              <w:spacing w:beforeLines="40" w:before="96" w:afterLines="40" w:after="96"/>
              <w:ind w:left="142"/>
              <w:jc w:val="center"/>
              <w:rPr>
                <w:color w:val="000000" w:themeColor="text1"/>
                <w:sz w:val="20"/>
              </w:rPr>
            </w:pPr>
          </w:p>
        </w:tc>
        <w:tc>
          <w:tcPr>
            <w:tcW w:w="1792" w:type="dxa"/>
            <w:vAlign w:val="center"/>
          </w:tcPr>
          <w:p w14:paraId="0D0408BB" w14:textId="66C26AFB" w:rsidR="00915779" w:rsidRPr="00546743" w:rsidRDefault="00915779" w:rsidP="00936F63">
            <w:pPr>
              <w:spacing w:beforeLines="40" w:before="96" w:afterLines="40" w:after="96"/>
              <w:ind w:left="142"/>
              <w:jc w:val="center"/>
              <w:rPr>
                <w:color w:val="000000" w:themeColor="text1"/>
                <w:sz w:val="20"/>
              </w:rPr>
            </w:pPr>
          </w:p>
        </w:tc>
        <w:tc>
          <w:tcPr>
            <w:tcW w:w="1219" w:type="dxa"/>
            <w:vAlign w:val="center"/>
          </w:tcPr>
          <w:p w14:paraId="6ECFA3CE" w14:textId="2D2B0743" w:rsidR="00915779" w:rsidRPr="00546743" w:rsidRDefault="00915779" w:rsidP="00936F63">
            <w:pPr>
              <w:keepNext/>
              <w:spacing w:beforeLines="40" w:before="96" w:afterLines="40" w:after="96"/>
              <w:ind w:left="142"/>
              <w:jc w:val="center"/>
              <w:rPr>
                <w:color w:val="000000" w:themeColor="text1"/>
                <w:sz w:val="20"/>
              </w:rPr>
            </w:pPr>
          </w:p>
        </w:tc>
        <w:tc>
          <w:tcPr>
            <w:tcW w:w="1904" w:type="dxa"/>
            <w:vAlign w:val="center"/>
          </w:tcPr>
          <w:p w14:paraId="2ECC06AE" w14:textId="7888A4E6" w:rsidR="00915779" w:rsidRPr="00546743" w:rsidRDefault="00915779" w:rsidP="00936F63">
            <w:pPr>
              <w:keepNext/>
              <w:spacing w:beforeLines="40" w:before="96" w:afterLines="40" w:after="96"/>
              <w:ind w:left="142"/>
              <w:jc w:val="center"/>
              <w:rPr>
                <w:color w:val="000000" w:themeColor="text1"/>
                <w:sz w:val="20"/>
              </w:rPr>
            </w:pPr>
          </w:p>
        </w:tc>
      </w:tr>
    </w:tbl>
    <w:p w14:paraId="42D10541" w14:textId="77777777" w:rsidR="001E3FB6" w:rsidRPr="001E3FB6" w:rsidRDefault="001E3FB6" w:rsidP="005267EF">
      <w:pPr>
        <w:ind w:left="142"/>
      </w:pPr>
    </w:p>
    <w:p w14:paraId="42D10542" w14:textId="77777777" w:rsidR="00081AAB" w:rsidRDefault="00081AAB" w:rsidP="005267EF">
      <w:pPr>
        <w:ind w:left="142"/>
      </w:pPr>
    </w:p>
    <w:p w14:paraId="42D10543" w14:textId="77777777" w:rsidR="00081AAB" w:rsidRDefault="00081AAB" w:rsidP="005267EF">
      <w:pPr>
        <w:pStyle w:val="Style1"/>
        <w:ind w:left="142" w:hanging="278"/>
        <w:rPr>
          <w:u w:val="single"/>
        </w:rPr>
      </w:pPr>
      <w:bookmarkStart w:id="11" w:name="_Toc458584304"/>
      <w:bookmarkStart w:id="12" w:name="_Toc464644619"/>
      <w:r w:rsidRPr="00444528">
        <w:t>REFERENCES</w:t>
      </w:r>
      <w:bookmarkEnd w:id="11"/>
      <w:bookmarkEnd w:id="12"/>
    </w:p>
    <w:p w14:paraId="42D10544" w14:textId="19E16529" w:rsidR="00081AAB" w:rsidRDefault="00081AAB" w:rsidP="005267EF">
      <w:pPr>
        <w:ind w:left="142"/>
      </w:pPr>
    </w:p>
    <w:p w14:paraId="27FDD9F4" w14:textId="26D0B88F" w:rsidR="00095FBE" w:rsidRPr="00F836B1" w:rsidRDefault="00095FBE" w:rsidP="00095FBE">
      <w:pPr>
        <w:pStyle w:val="Default"/>
        <w:jc w:val="both"/>
        <w:rPr>
          <w:b/>
          <w:i/>
          <w:sz w:val="22"/>
        </w:rPr>
      </w:pPr>
      <w:r>
        <w:rPr>
          <w:sz w:val="22"/>
        </w:rPr>
        <w:t>Standards for Registered Training Organisations 2015</w:t>
      </w:r>
      <w:r w:rsidR="00F836B1">
        <w:rPr>
          <w:sz w:val="22"/>
        </w:rPr>
        <w:t xml:space="preserve"> (</w:t>
      </w:r>
      <w:r w:rsidR="00F836B1">
        <w:rPr>
          <w:b/>
          <w:i/>
          <w:sz w:val="22"/>
        </w:rPr>
        <w:t>“the Standards”</w:t>
      </w:r>
      <w:r w:rsidR="00F836B1" w:rsidRPr="00F836B1">
        <w:rPr>
          <w:i/>
          <w:sz w:val="22"/>
        </w:rPr>
        <w:t>)</w:t>
      </w:r>
    </w:p>
    <w:p w14:paraId="3E8CA7A4" w14:textId="77777777" w:rsidR="00F836B1" w:rsidRDefault="00F836B1" w:rsidP="00F836B1">
      <w:pPr>
        <w:pStyle w:val="Default"/>
        <w:jc w:val="both"/>
        <w:rPr>
          <w:sz w:val="22"/>
        </w:rPr>
      </w:pPr>
      <w:r>
        <w:rPr>
          <w:sz w:val="22"/>
        </w:rPr>
        <w:t>National Vocational Education and Training Regulator Act 2011</w:t>
      </w:r>
    </w:p>
    <w:p w14:paraId="18463879" w14:textId="77777777" w:rsidR="00AD59D9" w:rsidRPr="00AD59D9" w:rsidRDefault="00AD59D9" w:rsidP="00AD59D9">
      <w:pPr>
        <w:spacing w:line="247" w:lineRule="auto"/>
        <w:ind w:left="-5" w:right="261" w:hanging="10"/>
        <w:jc w:val="both"/>
        <w:rPr>
          <w:rFonts w:ascii="Calibri" w:eastAsia="Times New Roman" w:hAnsi="Calibri" w:cs="Calibri"/>
          <w:color w:val="000000"/>
          <w:lang w:eastAsia="en-AU"/>
        </w:rPr>
      </w:pPr>
      <w:r w:rsidRPr="00AD59D9">
        <w:rPr>
          <w:rFonts w:ascii="Calibri" w:eastAsia="Times New Roman" w:hAnsi="Calibri" w:cs="Calibri"/>
          <w:color w:val="000000"/>
          <w:lang w:eastAsia="en-AU"/>
        </w:rPr>
        <w:t xml:space="preserve">The Equal Opportunity Act (1995) </w:t>
      </w:r>
    </w:p>
    <w:p w14:paraId="796F7580" w14:textId="0B9E052A" w:rsidR="00AD59D9" w:rsidRPr="00AD59D9" w:rsidRDefault="00AD59D9" w:rsidP="00AD59D9">
      <w:pPr>
        <w:spacing w:line="247" w:lineRule="auto"/>
        <w:ind w:left="-5" w:right="261" w:hanging="10"/>
        <w:jc w:val="both"/>
        <w:rPr>
          <w:rFonts w:ascii="Calibri" w:eastAsia="Times New Roman" w:hAnsi="Calibri" w:cs="Calibri"/>
          <w:color w:val="000000"/>
          <w:lang w:eastAsia="en-AU"/>
        </w:rPr>
      </w:pPr>
      <w:r w:rsidRPr="00AD59D9">
        <w:rPr>
          <w:rFonts w:ascii="Calibri" w:eastAsia="Times New Roman" w:hAnsi="Calibri" w:cs="Calibri"/>
          <w:color w:val="000000"/>
          <w:lang w:eastAsia="en-AU"/>
        </w:rPr>
        <w:t xml:space="preserve">Student Handbook  </w:t>
      </w:r>
    </w:p>
    <w:p w14:paraId="43FBA450" w14:textId="386B784D" w:rsidR="00AD59D9" w:rsidRPr="00AD59D9" w:rsidRDefault="00AD59D9" w:rsidP="00AD59D9">
      <w:pPr>
        <w:spacing w:line="247" w:lineRule="auto"/>
        <w:ind w:left="-5" w:right="261" w:hanging="10"/>
        <w:jc w:val="both"/>
        <w:rPr>
          <w:rFonts w:ascii="Calibri" w:eastAsia="Times New Roman" w:hAnsi="Calibri" w:cs="Calibri"/>
          <w:color w:val="000000"/>
          <w:lang w:eastAsia="en-AU"/>
        </w:rPr>
      </w:pPr>
      <w:r>
        <w:rPr>
          <w:rFonts w:ascii="Calibri" w:eastAsia="Times New Roman" w:hAnsi="Calibri" w:cs="Calibri"/>
          <w:color w:val="000000"/>
          <w:lang w:eastAsia="en-AU"/>
        </w:rPr>
        <w:t>RTO-SM-PO001</w:t>
      </w:r>
      <w:r w:rsidRPr="00AD59D9">
        <w:rPr>
          <w:rFonts w:ascii="Calibri" w:eastAsia="Times New Roman" w:hAnsi="Calibri" w:cs="Calibri"/>
          <w:color w:val="000000"/>
          <w:lang w:eastAsia="en-AU"/>
        </w:rPr>
        <w:t xml:space="preserve"> Student Conduct of Conduct Policy </w:t>
      </w:r>
    </w:p>
    <w:p w14:paraId="28A965B2" w14:textId="42D3AA2A" w:rsidR="00AD59D9" w:rsidRPr="00AD59D9" w:rsidRDefault="00AD59D9" w:rsidP="00AD59D9">
      <w:pPr>
        <w:spacing w:line="247" w:lineRule="auto"/>
        <w:ind w:left="-5" w:right="261" w:hanging="10"/>
        <w:jc w:val="both"/>
        <w:rPr>
          <w:rFonts w:ascii="Calibri" w:eastAsia="Times New Roman" w:hAnsi="Calibri" w:cs="Calibri"/>
          <w:color w:val="000000"/>
          <w:lang w:eastAsia="en-AU"/>
        </w:rPr>
      </w:pPr>
      <w:r>
        <w:rPr>
          <w:rFonts w:ascii="Calibri" w:eastAsia="Times New Roman" w:hAnsi="Calibri" w:cs="Calibri"/>
          <w:color w:val="000000"/>
          <w:lang w:eastAsia="en-AU"/>
        </w:rPr>
        <w:t xml:space="preserve">QMS-HR-PO0001 </w:t>
      </w:r>
      <w:r w:rsidRPr="00AD59D9">
        <w:rPr>
          <w:rFonts w:ascii="Calibri" w:eastAsia="Times New Roman" w:hAnsi="Calibri" w:cs="Calibri"/>
          <w:color w:val="000000"/>
          <w:lang w:eastAsia="en-AU"/>
        </w:rPr>
        <w:t xml:space="preserve">Equal Employment Opportunity </w:t>
      </w:r>
      <w:r>
        <w:rPr>
          <w:rFonts w:ascii="Calibri" w:eastAsia="Times New Roman" w:hAnsi="Calibri" w:cs="Calibri"/>
          <w:color w:val="000000"/>
          <w:lang w:eastAsia="en-AU"/>
        </w:rPr>
        <w:t>Policy</w:t>
      </w:r>
    </w:p>
    <w:p w14:paraId="00CF8F1B" w14:textId="2C0780A8" w:rsidR="00F836B1" w:rsidRDefault="00F836B1" w:rsidP="00F836B1"/>
    <w:p w14:paraId="42D1054A" w14:textId="77777777" w:rsidR="00081AAB" w:rsidRPr="000778AE" w:rsidRDefault="00081AAB" w:rsidP="005267EF">
      <w:pPr>
        <w:ind w:left="142"/>
      </w:pPr>
    </w:p>
    <w:p w14:paraId="42D1054B" w14:textId="77777777" w:rsidR="00D7203F" w:rsidRPr="000778AE" w:rsidRDefault="000778AE" w:rsidP="005267EF">
      <w:pPr>
        <w:pStyle w:val="Style1"/>
        <w:ind w:left="142" w:hanging="278"/>
        <w:rPr>
          <w:u w:val="single"/>
        </w:rPr>
      </w:pPr>
      <w:bookmarkStart w:id="13" w:name="_Toc458584305"/>
      <w:bookmarkStart w:id="14" w:name="_Toc464644620"/>
      <w:r w:rsidRPr="00444528">
        <w:t>AMENDMENT RECORD</w:t>
      </w:r>
      <w:bookmarkEnd w:id="13"/>
      <w:bookmarkEnd w:id="14"/>
    </w:p>
    <w:p w14:paraId="42D1054C" w14:textId="77777777" w:rsidR="00B1470A" w:rsidRDefault="00B1470A" w:rsidP="005267EF">
      <w:pPr>
        <w:ind w:left="142"/>
        <w:jc w:val="both"/>
      </w:pPr>
    </w:p>
    <w:tbl>
      <w:tblPr>
        <w:tblStyle w:val="TableGrid"/>
        <w:tblW w:w="10155" w:type="dxa"/>
        <w:tblInd w:w="-147" w:type="dxa"/>
        <w:tblLook w:val="04A0" w:firstRow="1" w:lastRow="0" w:firstColumn="1" w:lastColumn="0" w:noHBand="0" w:noVBand="1"/>
      </w:tblPr>
      <w:tblGrid>
        <w:gridCol w:w="1202"/>
        <w:gridCol w:w="1502"/>
        <w:gridCol w:w="1036"/>
        <w:gridCol w:w="4995"/>
        <w:gridCol w:w="1420"/>
      </w:tblGrid>
      <w:tr w:rsidR="00F313EA" w:rsidRPr="002445C1" w14:paraId="42D10552" w14:textId="77777777" w:rsidTr="005267EF">
        <w:trPr>
          <w:trHeight w:val="455"/>
        </w:trPr>
        <w:tc>
          <w:tcPr>
            <w:tcW w:w="1203" w:type="dxa"/>
            <w:shd w:val="clear" w:color="auto" w:fill="F2F2F2" w:themeFill="background1" w:themeFillShade="F2"/>
            <w:vAlign w:val="center"/>
          </w:tcPr>
          <w:p w14:paraId="42D1054D" w14:textId="77777777" w:rsidR="00F313EA" w:rsidRPr="002445C1" w:rsidRDefault="00F313EA" w:rsidP="005267EF">
            <w:pPr>
              <w:keepNext/>
              <w:keepLines/>
              <w:ind w:left="142"/>
              <w:jc w:val="center"/>
              <w:rPr>
                <w:rFonts w:cs="Arial"/>
                <w:b/>
                <w:bCs/>
              </w:rPr>
            </w:pPr>
            <w:r w:rsidRPr="002445C1">
              <w:rPr>
                <w:rFonts w:cs="Arial"/>
                <w:b/>
                <w:bCs/>
              </w:rPr>
              <w:t>Version</w:t>
            </w:r>
          </w:p>
        </w:tc>
        <w:tc>
          <w:tcPr>
            <w:tcW w:w="1502" w:type="dxa"/>
            <w:shd w:val="clear" w:color="auto" w:fill="F2F2F2" w:themeFill="background1" w:themeFillShade="F2"/>
            <w:vAlign w:val="center"/>
          </w:tcPr>
          <w:p w14:paraId="42D1054E" w14:textId="77777777" w:rsidR="00F313EA" w:rsidRPr="002445C1" w:rsidRDefault="00F313EA" w:rsidP="005267EF">
            <w:pPr>
              <w:keepNext/>
              <w:keepLines/>
              <w:ind w:left="142"/>
              <w:jc w:val="center"/>
              <w:rPr>
                <w:rFonts w:cs="Arial"/>
                <w:b/>
                <w:bCs/>
              </w:rPr>
            </w:pPr>
            <w:r>
              <w:rPr>
                <w:rFonts w:cs="Arial"/>
                <w:b/>
                <w:bCs/>
              </w:rPr>
              <w:t>Amendment</w:t>
            </w:r>
          </w:p>
        </w:tc>
        <w:tc>
          <w:tcPr>
            <w:tcW w:w="1037" w:type="dxa"/>
            <w:shd w:val="clear" w:color="auto" w:fill="F2F2F2" w:themeFill="background1" w:themeFillShade="F2"/>
            <w:vAlign w:val="center"/>
          </w:tcPr>
          <w:p w14:paraId="42D1054F" w14:textId="77777777" w:rsidR="00F313EA" w:rsidRPr="002445C1" w:rsidRDefault="00F313EA" w:rsidP="005267EF">
            <w:pPr>
              <w:keepNext/>
              <w:keepLines/>
              <w:ind w:left="142"/>
              <w:jc w:val="center"/>
              <w:rPr>
                <w:rFonts w:cs="Arial"/>
                <w:b/>
                <w:bCs/>
              </w:rPr>
            </w:pPr>
            <w:r w:rsidRPr="002445C1">
              <w:rPr>
                <w:rFonts w:cs="Arial"/>
                <w:b/>
                <w:bCs/>
              </w:rPr>
              <w:t>Page</w:t>
            </w:r>
          </w:p>
        </w:tc>
        <w:tc>
          <w:tcPr>
            <w:tcW w:w="5009" w:type="dxa"/>
            <w:shd w:val="clear" w:color="auto" w:fill="F2F2F2" w:themeFill="background1" w:themeFillShade="F2"/>
            <w:vAlign w:val="center"/>
          </w:tcPr>
          <w:p w14:paraId="42D10550" w14:textId="77777777" w:rsidR="00F313EA" w:rsidRPr="002445C1" w:rsidRDefault="00F313EA" w:rsidP="005267EF">
            <w:pPr>
              <w:keepNext/>
              <w:keepLines/>
              <w:ind w:left="142"/>
              <w:jc w:val="center"/>
              <w:rPr>
                <w:rFonts w:cs="Arial"/>
                <w:b/>
                <w:bCs/>
              </w:rPr>
            </w:pPr>
            <w:r w:rsidRPr="002445C1">
              <w:rPr>
                <w:rFonts w:cs="Arial"/>
                <w:b/>
                <w:bCs/>
              </w:rPr>
              <w:t>Description</w:t>
            </w:r>
          </w:p>
        </w:tc>
        <w:tc>
          <w:tcPr>
            <w:tcW w:w="1404" w:type="dxa"/>
            <w:shd w:val="clear" w:color="auto" w:fill="F2F2F2" w:themeFill="background1" w:themeFillShade="F2"/>
            <w:vAlign w:val="center"/>
          </w:tcPr>
          <w:p w14:paraId="42D10551" w14:textId="77777777" w:rsidR="00F313EA" w:rsidRPr="002445C1" w:rsidRDefault="00F313EA" w:rsidP="005267EF">
            <w:pPr>
              <w:keepNext/>
              <w:keepLines/>
              <w:ind w:left="142"/>
              <w:jc w:val="center"/>
              <w:rPr>
                <w:rFonts w:cs="Arial"/>
                <w:b/>
                <w:bCs/>
              </w:rPr>
            </w:pPr>
            <w:r w:rsidRPr="002445C1">
              <w:rPr>
                <w:rFonts w:cs="Arial"/>
                <w:b/>
                <w:bCs/>
              </w:rPr>
              <w:t>Date</w:t>
            </w:r>
          </w:p>
        </w:tc>
      </w:tr>
      <w:tr w:rsidR="00F313EA" w:rsidRPr="002445C1" w14:paraId="42D10558" w14:textId="77777777" w:rsidTr="005267EF">
        <w:trPr>
          <w:trHeight w:val="339"/>
        </w:trPr>
        <w:tc>
          <w:tcPr>
            <w:tcW w:w="1203" w:type="dxa"/>
          </w:tcPr>
          <w:p w14:paraId="42D10553" w14:textId="77777777" w:rsidR="00F313EA" w:rsidRPr="002445C1" w:rsidRDefault="00F313EA" w:rsidP="005267EF">
            <w:pPr>
              <w:keepNext/>
              <w:spacing w:beforeLines="40" w:before="96" w:afterLines="40" w:after="96"/>
              <w:ind w:left="142"/>
              <w:rPr>
                <w:color w:val="000000" w:themeColor="text1"/>
              </w:rPr>
            </w:pPr>
            <w:r>
              <w:rPr>
                <w:color w:val="000000" w:themeColor="text1"/>
              </w:rPr>
              <w:t>1</w:t>
            </w:r>
          </w:p>
        </w:tc>
        <w:tc>
          <w:tcPr>
            <w:tcW w:w="1502" w:type="dxa"/>
          </w:tcPr>
          <w:p w14:paraId="42D10554" w14:textId="77777777" w:rsidR="00F313EA" w:rsidRPr="002445C1" w:rsidRDefault="00F313EA" w:rsidP="005267EF">
            <w:pPr>
              <w:keepNext/>
              <w:spacing w:beforeLines="40" w:before="96" w:afterLines="40" w:after="96"/>
              <w:ind w:left="142"/>
              <w:rPr>
                <w:color w:val="000000" w:themeColor="text1"/>
              </w:rPr>
            </w:pPr>
            <w:r>
              <w:rPr>
                <w:color w:val="000000" w:themeColor="text1"/>
              </w:rPr>
              <w:t>0</w:t>
            </w:r>
          </w:p>
        </w:tc>
        <w:tc>
          <w:tcPr>
            <w:tcW w:w="1037" w:type="dxa"/>
          </w:tcPr>
          <w:p w14:paraId="42D10555" w14:textId="77777777" w:rsidR="00F313EA" w:rsidRPr="002445C1" w:rsidRDefault="00F313EA" w:rsidP="005267EF">
            <w:pPr>
              <w:keepNext/>
              <w:spacing w:beforeLines="40" w:before="96" w:afterLines="40" w:after="96"/>
              <w:ind w:left="142"/>
              <w:rPr>
                <w:color w:val="000000" w:themeColor="text1"/>
              </w:rPr>
            </w:pPr>
            <w:r w:rsidRPr="002445C1">
              <w:rPr>
                <w:color w:val="000000" w:themeColor="text1"/>
              </w:rPr>
              <w:t>All</w:t>
            </w:r>
          </w:p>
        </w:tc>
        <w:tc>
          <w:tcPr>
            <w:tcW w:w="5009" w:type="dxa"/>
          </w:tcPr>
          <w:p w14:paraId="42D10556" w14:textId="7001BDBD" w:rsidR="00F313EA" w:rsidRPr="002445C1" w:rsidRDefault="00F313EA" w:rsidP="005267EF">
            <w:pPr>
              <w:keepNext/>
              <w:spacing w:beforeLines="40" w:before="96" w:afterLines="40" w:after="96"/>
              <w:ind w:left="142"/>
              <w:rPr>
                <w:color w:val="000000" w:themeColor="text1"/>
              </w:rPr>
            </w:pPr>
            <w:r>
              <w:rPr>
                <w:color w:val="000000" w:themeColor="text1"/>
              </w:rPr>
              <w:t xml:space="preserve">First Issue. This procedure was formerly </w:t>
            </w:r>
            <w:r w:rsidRPr="00F313EA">
              <w:rPr>
                <w:color w:val="000000" w:themeColor="text1"/>
              </w:rPr>
              <w:t>FMA-</w:t>
            </w:r>
            <w:r w:rsidR="00095FBE">
              <w:rPr>
                <w:color w:val="000000" w:themeColor="text1"/>
              </w:rPr>
              <w:t>RTO-PO000</w:t>
            </w:r>
            <w:r w:rsidR="00AD59D9">
              <w:rPr>
                <w:color w:val="000000" w:themeColor="text1"/>
              </w:rPr>
              <w:t>9</w:t>
            </w:r>
            <w:r w:rsidR="00F836B1">
              <w:rPr>
                <w:color w:val="000000" w:themeColor="text1"/>
              </w:rPr>
              <w:t>. Full review of procedure to be inline with requirements of ISO9001:2015</w:t>
            </w:r>
          </w:p>
        </w:tc>
        <w:tc>
          <w:tcPr>
            <w:tcW w:w="1404" w:type="dxa"/>
          </w:tcPr>
          <w:p w14:paraId="42D10557" w14:textId="0C04B47D" w:rsidR="00F313EA" w:rsidRPr="002445C1" w:rsidRDefault="00F836B1" w:rsidP="005267EF">
            <w:pPr>
              <w:keepNext/>
              <w:spacing w:beforeLines="40" w:before="96" w:afterLines="40" w:after="96"/>
              <w:ind w:left="142"/>
              <w:rPr>
                <w:color w:val="000000" w:themeColor="text1"/>
              </w:rPr>
            </w:pPr>
            <w:r>
              <w:rPr>
                <w:color w:val="000000" w:themeColor="text1"/>
              </w:rPr>
              <w:t>0</w:t>
            </w:r>
            <w:r w:rsidR="00AD59D9">
              <w:rPr>
                <w:color w:val="000000" w:themeColor="text1"/>
              </w:rPr>
              <w:t>6</w:t>
            </w:r>
            <w:r>
              <w:rPr>
                <w:color w:val="000000" w:themeColor="text1"/>
              </w:rPr>
              <w:t>/10/2016</w:t>
            </w:r>
          </w:p>
        </w:tc>
      </w:tr>
    </w:tbl>
    <w:p w14:paraId="42D10559" w14:textId="77777777" w:rsidR="00B373C5" w:rsidRDefault="00607BD9" w:rsidP="00E12C8B">
      <w:pPr>
        <w:jc w:val="both"/>
      </w:pPr>
      <w:r>
        <w:rPr>
          <w:noProof/>
          <w:sz w:val="24"/>
          <w:szCs w:val="24"/>
          <w:lang w:eastAsia="en-AU"/>
        </w:rPr>
        <mc:AlternateContent>
          <mc:Choice Requires="wps">
            <w:drawing>
              <wp:anchor distT="0" distB="0" distL="114300" distR="114300" simplePos="0" relativeHeight="251660288" behindDoc="1" locked="0" layoutInCell="1" allowOverlap="1" wp14:anchorId="42D10560" wp14:editId="42D10561">
                <wp:simplePos x="0" y="0"/>
                <wp:positionH relativeFrom="column">
                  <wp:posOffset>1143000</wp:posOffset>
                </wp:positionH>
                <wp:positionV relativeFrom="paragraph">
                  <wp:posOffset>929005</wp:posOffset>
                </wp:positionV>
                <wp:extent cx="4114800" cy="755015"/>
                <wp:effectExtent l="19050" t="19050" r="19050" b="26035"/>
                <wp:wrapTight wrapText="bothSides">
                  <wp:wrapPolygon edited="0">
                    <wp:start x="-100" y="-545"/>
                    <wp:lineTo x="-100" y="21800"/>
                    <wp:lineTo x="21600" y="21800"/>
                    <wp:lineTo x="21600" y="-545"/>
                    <wp:lineTo x="-100" y="-545"/>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5015"/>
                        </a:xfrm>
                        <a:prstGeom prst="rect">
                          <a:avLst/>
                        </a:prstGeom>
                        <a:solidFill>
                          <a:srgbClr val="FFFFFF"/>
                        </a:solidFill>
                        <a:ln w="28575">
                          <a:solidFill>
                            <a:srgbClr val="FF0000"/>
                          </a:solidFill>
                          <a:miter lim="800000"/>
                          <a:headEnd/>
                          <a:tailEnd/>
                        </a:ln>
                      </wps:spPr>
                      <wps:txb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0560" id="Rectangle 4" o:spid="_x0000_s1026" style="position:absolute;left:0;text-align:left;margin-left:90pt;margin-top:73.15pt;width:324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" strokecolor="red" strokeweight="2.25pt">
                <v:textbo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v:textbox>
                <w10:wrap type="tight"/>
              </v:rect>
            </w:pict>
          </mc:Fallback>
        </mc:AlternateContent>
      </w:r>
    </w:p>
    <w:sectPr w:rsidR="00B373C5" w:rsidSect="008079E5">
      <w:headerReference w:type="default" r:id="rId14"/>
      <w:footerReference w:type="default" r:id="rId15"/>
      <w:headerReference w:type="first" r:id="rId16"/>
      <w:pgSz w:w="11906" w:h="16838"/>
      <w:pgMar w:top="1669" w:right="849" w:bottom="1440"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6DC4" w14:textId="77777777" w:rsidR="00912D85" w:rsidRDefault="00912D85" w:rsidP="007039D8">
      <w:r>
        <w:separator/>
      </w:r>
    </w:p>
  </w:endnote>
  <w:endnote w:type="continuationSeparator" w:id="0">
    <w:p w14:paraId="7C9634EC" w14:textId="77777777" w:rsidR="00912D85" w:rsidRDefault="00912D85" w:rsidP="007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7B"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THIS DOCUMENT IS NON-CONTROLLED WHEN PRINTED</w:t>
    </w:r>
  </w:p>
  <w:p w14:paraId="42D1057C"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To be used for reference purposes only</w:t>
    </w:r>
  </w:p>
  <w:p w14:paraId="42D1057D"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Refer to the electronic copy for latest version</w:t>
    </w:r>
  </w:p>
  <w:p w14:paraId="42D1057E" w14:textId="77777777" w:rsidR="003D57D2" w:rsidRDefault="003D57D2">
    <w:pPr>
      <w:pStyle w:val="Footer"/>
    </w:pPr>
  </w:p>
  <w:p w14:paraId="42D1057F" w14:textId="77777777" w:rsidR="003D57D2" w:rsidRDefault="003D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621B" w14:textId="77777777" w:rsidR="00912D85" w:rsidRDefault="00912D85" w:rsidP="007039D8">
      <w:r>
        <w:separator/>
      </w:r>
    </w:p>
  </w:footnote>
  <w:footnote w:type="continuationSeparator" w:id="0">
    <w:p w14:paraId="028AB9E9" w14:textId="77777777" w:rsidR="00912D85" w:rsidRDefault="00912D85" w:rsidP="007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66" w14:textId="64BB48C6" w:rsidR="007039D8" w:rsidRDefault="007039D8">
    <w:pPr>
      <w:pStyle w:val="Header"/>
    </w:pPr>
  </w:p>
  <w:tbl>
    <w:tblPr>
      <w:tblStyle w:val="TableGrid"/>
      <w:tblW w:w="10560" w:type="dxa"/>
      <w:tblInd w:w="-552" w:type="dxa"/>
      <w:tblLook w:val="04A0" w:firstRow="1" w:lastRow="0" w:firstColumn="1" w:lastColumn="0" w:noHBand="0" w:noVBand="1"/>
    </w:tblPr>
    <w:tblGrid>
      <w:gridCol w:w="2759"/>
      <w:gridCol w:w="4171"/>
      <w:gridCol w:w="2200"/>
      <w:gridCol w:w="1430"/>
    </w:tblGrid>
    <w:tr w:rsidR="00BE7CF6" w14:paraId="42D1056B" w14:textId="77777777" w:rsidTr="001C0DF5">
      <w:trPr>
        <w:trHeight w:val="304"/>
      </w:trPr>
      <w:tc>
        <w:tcPr>
          <w:tcW w:w="2759" w:type="dxa"/>
          <w:vMerge w:val="restart"/>
          <w:vAlign w:val="center"/>
        </w:tcPr>
        <w:p w14:paraId="42D10567" w14:textId="51B49572" w:rsidR="00BE7CF6" w:rsidRPr="00194CAE" w:rsidRDefault="00BE7CF6" w:rsidP="001C0DF5">
          <w:pPr>
            <w:pStyle w:val="Header"/>
            <w:jc w:val="center"/>
            <w:rPr>
              <w:b/>
              <w:sz w:val="20"/>
              <w:szCs w:val="20"/>
            </w:rPr>
          </w:pPr>
          <w:r>
            <w:rPr>
              <w:noProof/>
              <w:lang w:eastAsia="en-AU"/>
            </w:rPr>
            <w:drawing>
              <wp:inline distT="0" distB="0" distL="0" distR="0" wp14:anchorId="42D10586" wp14:editId="5B098090">
                <wp:extent cx="1485900" cy="68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42D10569" w14:textId="3DADBA2A" w:rsidR="00BE7CF6" w:rsidRPr="000A3706" w:rsidRDefault="001F6C77" w:rsidP="00AD59D9">
          <w:pPr>
            <w:pStyle w:val="Header"/>
            <w:jc w:val="center"/>
            <w:rPr>
              <w:b/>
              <w:sz w:val="32"/>
              <w:szCs w:val="28"/>
            </w:rPr>
          </w:pPr>
          <w:r>
            <w:rPr>
              <w:b/>
              <w:sz w:val="32"/>
              <w:szCs w:val="28"/>
            </w:rPr>
            <w:t xml:space="preserve"> </w:t>
          </w:r>
          <w:r w:rsidR="00AD59D9">
            <w:rPr>
              <w:b/>
              <w:sz w:val="32"/>
              <w:szCs w:val="28"/>
            </w:rPr>
            <w:t>Access &amp; Equity Policy</w:t>
          </w:r>
        </w:p>
      </w:tc>
      <w:tc>
        <w:tcPr>
          <w:tcW w:w="3630" w:type="dxa"/>
          <w:gridSpan w:val="2"/>
          <w:vAlign w:val="center"/>
        </w:tcPr>
        <w:p w14:paraId="42D1056A" w14:textId="4E3CFE51" w:rsidR="00BE7CF6" w:rsidRPr="00095FBE" w:rsidRDefault="00BE7CF6" w:rsidP="00BE7CF6">
          <w:pPr>
            <w:pStyle w:val="Header"/>
            <w:jc w:val="right"/>
            <w:rPr>
              <w:sz w:val="18"/>
              <w:szCs w:val="20"/>
            </w:rPr>
          </w:pPr>
          <w:r w:rsidRPr="00D56452">
            <w:rPr>
              <w:b/>
              <w:sz w:val="18"/>
              <w:szCs w:val="20"/>
            </w:rPr>
            <w:t>Document Number:</w:t>
          </w:r>
          <w:r w:rsidRPr="00D56452">
            <w:rPr>
              <w:b/>
              <w:sz w:val="18"/>
            </w:rPr>
            <w:t xml:space="preserve"> </w:t>
          </w:r>
          <w:r w:rsidR="00095FBE">
            <w:rPr>
              <w:sz w:val="18"/>
            </w:rPr>
            <w:t>RTO-CG-PO00</w:t>
          </w:r>
          <w:r w:rsidR="00AD59D9">
            <w:rPr>
              <w:sz w:val="18"/>
            </w:rPr>
            <w:t>6</w:t>
          </w:r>
        </w:p>
      </w:tc>
    </w:tr>
    <w:tr w:rsidR="00BE7CF6" w14:paraId="42D10570" w14:textId="77777777" w:rsidTr="001C0DF5">
      <w:trPr>
        <w:trHeight w:val="304"/>
      </w:trPr>
      <w:tc>
        <w:tcPr>
          <w:tcW w:w="2759" w:type="dxa"/>
          <w:vMerge/>
          <w:vAlign w:val="center"/>
        </w:tcPr>
        <w:p w14:paraId="42D1056C" w14:textId="77777777" w:rsidR="00BE7CF6" w:rsidRPr="00194CAE" w:rsidRDefault="00BE7CF6" w:rsidP="001C0DF5">
          <w:pPr>
            <w:pStyle w:val="Header"/>
            <w:rPr>
              <w:b/>
              <w:sz w:val="20"/>
              <w:szCs w:val="20"/>
            </w:rPr>
          </w:pPr>
        </w:p>
      </w:tc>
      <w:tc>
        <w:tcPr>
          <w:tcW w:w="4171" w:type="dxa"/>
          <w:vMerge/>
          <w:vAlign w:val="center"/>
        </w:tcPr>
        <w:p w14:paraId="42D1056D" w14:textId="77777777" w:rsidR="00BE7CF6" w:rsidRDefault="00BE7CF6" w:rsidP="001C0DF5">
          <w:pPr>
            <w:pStyle w:val="Header"/>
            <w:rPr>
              <w:b/>
              <w:sz w:val="28"/>
              <w:szCs w:val="20"/>
            </w:rPr>
          </w:pPr>
        </w:p>
      </w:tc>
      <w:tc>
        <w:tcPr>
          <w:tcW w:w="2200" w:type="dxa"/>
          <w:vAlign w:val="center"/>
        </w:tcPr>
        <w:p w14:paraId="42D1056E" w14:textId="622FE5C7" w:rsidR="00BE7CF6" w:rsidRPr="00095FBE" w:rsidRDefault="00BE7CF6" w:rsidP="001C0DF5">
          <w:pPr>
            <w:pStyle w:val="Header"/>
            <w:jc w:val="right"/>
            <w:rPr>
              <w:sz w:val="18"/>
              <w:szCs w:val="20"/>
            </w:rPr>
          </w:pPr>
          <w:r w:rsidRPr="00D56452">
            <w:rPr>
              <w:b/>
              <w:sz w:val="18"/>
              <w:szCs w:val="20"/>
            </w:rPr>
            <w:t xml:space="preserve">Date: </w:t>
          </w:r>
          <w:r w:rsidR="00AD59D9">
            <w:rPr>
              <w:sz w:val="18"/>
              <w:szCs w:val="20"/>
            </w:rPr>
            <w:t>06</w:t>
          </w:r>
          <w:r w:rsidR="00095FBE">
            <w:rPr>
              <w:sz w:val="18"/>
              <w:szCs w:val="20"/>
            </w:rPr>
            <w:t>/10/2016</w:t>
          </w:r>
        </w:p>
      </w:tc>
      <w:tc>
        <w:tcPr>
          <w:tcW w:w="1430" w:type="dxa"/>
          <w:vAlign w:val="center"/>
        </w:tcPr>
        <w:p w14:paraId="42D1056F" w14:textId="148D3F80" w:rsidR="00BE7CF6" w:rsidRPr="00D56452" w:rsidRDefault="00BE7CF6" w:rsidP="001C0DF5">
          <w:pPr>
            <w:pStyle w:val="Header"/>
            <w:jc w:val="right"/>
            <w:rPr>
              <w:b/>
              <w:sz w:val="18"/>
              <w:szCs w:val="20"/>
            </w:rPr>
          </w:pPr>
          <w:r w:rsidRPr="00D56452">
            <w:rPr>
              <w:b/>
              <w:sz w:val="18"/>
              <w:szCs w:val="20"/>
            </w:rPr>
            <w:t>Version:</w:t>
          </w:r>
          <w:r w:rsidRPr="00D56452">
            <w:rPr>
              <w:b/>
              <w:sz w:val="18"/>
            </w:rPr>
            <w:t xml:space="preserve"> </w:t>
          </w:r>
          <w:r w:rsidR="00095FBE">
            <w:rPr>
              <w:sz w:val="18"/>
            </w:rPr>
            <w:t>1.0</w:t>
          </w:r>
          <w:r w:rsidRPr="00D56452">
            <w:rPr>
              <w:b/>
              <w:sz w:val="18"/>
              <w:szCs w:val="20"/>
            </w:rPr>
            <w:t xml:space="preserve"> </w:t>
          </w:r>
        </w:p>
      </w:tc>
    </w:tr>
    <w:tr w:rsidR="00BE7CF6" w14:paraId="42D10574" w14:textId="77777777" w:rsidTr="001C0DF5">
      <w:trPr>
        <w:trHeight w:val="304"/>
      </w:trPr>
      <w:tc>
        <w:tcPr>
          <w:tcW w:w="2759" w:type="dxa"/>
          <w:vMerge/>
          <w:vAlign w:val="center"/>
        </w:tcPr>
        <w:p w14:paraId="42D10571" w14:textId="77777777" w:rsidR="00BE7CF6" w:rsidRPr="00194CAE" w:rsidRDefault="00BE7CF6" w:rsidP="001C0DF5">
          <w:pPr>
            <w:pStyle w:val="Header"/>
            <w:rPr>
              <w:b/>
              <w:sz w:val="20"/>
              <w:szCs w:val="20"/>
            </w:rPr>
          </w:pPr>
        </w:p>
      </w:tc>
      <w:tc>
        <w:tcPr>
          <w:tcW w:w="4171" w:type="dxa"/>
          <w:vMerge/>
          <w:vAlign w:val="center"/>
        </w:tcPr>
        <w:p w14:paraId="42D10572" w14:textId="77777777" w:rsidR="00BE7CF6" w:rsidRDefault="00BE7CF6" w:rsidP="001C0DF5">
          <w:pPr>
            <w:pStyle w:val="Header"/>
            <w:rPr>
              <w:b/>
              <w:sz w:val="28"/>
              <w:szCs w:val="20"/>
            </w:rPr>
          </w:pPr>
        </w:p>
      </w:tc>
      <w:tc>
        <w:tcPr>
          <w:tcW w:w="3630" w:type="dxa"/>
          <w:gridSpan w:val="2"/>
          <w:vAlign w:val="center"/>
        </w:tcPr>
        <w:p w14:paraId="42D10573" w14:textId="55AFC9F9" w:rsidR="00BE7CF6" w:rsidRPr="00D56452" w:rsidRDefault="00BE7CF6" w:rsidP="001C0DF5">
          <w:pPr>
            <w:pStyle w:val="Header"/>
            <w:jc w:val="right"/>
            <w:rPr>
              <w:b/>
              <w:sz w:val="18"/>
              <w:szCs w:val="20"/>
            </w:rPr>
          </w:pPr>
          <w:r w:rsidRPr="00D56452">
            <w:rPr>
              <w:b/>
              <w:sz w:val="18"/>
              <w:szCs w:val="20"/>
            </w:rPr>
            <w:t>Department:</w:t>
          </w:r>
          <w:r w:rsidR="00095FBE">
            <w:rPr>
              <w:b/>
              <w:sz w:val="18"/>
            </w:rPr>
            <w:t xml:space="preserve"> </w:t>
          </w:r>
          <w:r w:rsidR="00095FBE" w:rsidRPr="00095FBE">
            <w:rPr>
              <w:sz w:val="18"/>
            </w:rPr>
            <w:t>Corporate Governance</w:t>
          </w:r>
          <w:r w:rsidRPr="00D56452">
            <w:rPr>
              <w:b/>
              <w:sz w:val="18"/>
              <w:szCs w:val="20"/>
            </w:rPr>
            <w:t xml:space="preserve"> </w:t>
          </w:r>
        </w:p>
      </w:tc>
    </w:tr>
    <w:tr w:rsidR="00BE7CF6" w14:paraId="42D10578" w14:textId="77777777" w:rsidTr="001C0DF5">
      <w:trPr>
        <w:trHeight w:val="304"/>
      </w:trPr>
      <w:tc>
        <w:tcPr>
          <w:tcW w:w="2759" w:type="dxa"/>
          <w:vMerge/>
          <w:vAlign w:val="center"/>
        </w:tcPr>
        <w:p w14:paraId="42D10575" w14:textId="77777777" w:rsidR="00BE7CF6" w:rsidRPr="00194CAE" w:rsidRDefault="00BE7CF6" w:rsidP="001C0DF5">
          <w:pPr>
            <w:pStyle w:val="Header"/>
            <w:rPr>
              <w:b/>
              <w:sz w:val="20"/>
              <w:szCs w:val="20"/>
            </w:rPr>
          </w:pPr>
        </w:p>
      </w:tc>
      <w:tc>
        <w:tcPr>
          <w:tcW w:w="4171" w:type="dxa"/>
          <w:vMerge/>
          <w:vAlign w:val="center"/>
        </w:tcPr>
        <w:p w14:paraId="42D10576" w14:textId="77777777" w:rsidR="00BE7CF6" w:rsidRPr="00194CAE" w:rsidRDefault="00BE7CF6" w:rsidP="001C0DF5">
          <w:pPr>
            <w:pStyle w:val="Header"/>
            <w:rPr>
              <w:b/>
              <w:sz w:val="20"/>
              <w:szCs w:val="20"/>
            </w:rPr>
          </w:pPr>
        </w:p>
      </w:tc>
      <w:tc>
        <w:tcPr>
          <w:tcW w:w="3630" w:type="dxa"/>
          <w:gridSpan w:val="2"/>
          <w:tcBorders>
            <w:bottom w:val="single" w:sz="4" w:space="0" w:color="auto"/>
          </w:tcBorders>
          <w:vAlign w:val="center"/>
        </w:tcPr>
        <w:p w14:paraId="42D10577" w14:textId="0B159952" w:rsidR="00BE7CF6" w:rsidRPr="00D56452" w:rsidRDefault="00BE7CF6" w:rsidP="001C0DF5">
          <w:pPr>
            <w:pStyle w:val="Header"/>
            <w:jc w:val="right"/>
            <w:rPr>
              <w:b/>
              <w:sz w:val="18"/>
              <w:szCs w:val="20"/>
            </w:rPr>
          </w:pPr>
          <w:r w:rsidRPr="00D56452">
            <w:rPr>
              <w:b/>
              <w:sz w:val="18"/>
              <w:szCs w:val="20"/>
            </w:rPr>
            <w:t>Page</w:t>
          </w:r>
          <w:r>
            <w:rPr>
              <w:b/>
              <w:sz w:val="18"/>
            </w:rPr>
            <w:t>:</w:t>
          </w:r>
          <w:r w:rsidRPr="00D56452">
            <w:rPr>
              <w:b/>
              <w:sz w:val="18"/>
              <w:szCs w:val="20"/>
            </w:rPr>
            <w:t xml:space="preserve"> </w:t>
          </w:r>
          <w:r w:rsidRPr="00D56452">
            <w:rPr>
              <w:sz w:val="18"/>
              <w:szCs w:val="20"/>
            </w:rPr>
            <w:fldChar w:fldCharType="begin"/>
          </w:r>
          <w:r w:rsidRPr="00D56452">
            <w:rPr>
              <w:sz w:val="18"/>
              <w:szCs w:val="20"/>
            </w:rPr>
            <w:instrText xml:space="preserve"> PAGE  \* Arabic  \* MERGEFORMAT </w:instrText>
          </w:r>
          <w:r w:rsidRPr="00D56452">
            <w:rPr>
              <w:sz w:val="18"/>
              <w:szCs w:val="20"/>
            </w:rPr>
            <w:fldChar w:fldCharType="separate"/>
          </w:r>
          <w:r w:rsidR="00AD59D9" w:rsidRPr="00AD59D9">
            <w:rPr>
              <w:noProof/>
              <w:sz w:val="18"/>
            </w:rPr>
            <w:t>2</w:t>
          </w:r>
          <w:r w:rsidRPr="00D56452">
            <w:rPr>
              <w:sz w:val="18"/>
              <w:szCs w:val="20"/>
            </w:rPr>
            <w:fldChar w:fldCharType="end"/>
          </w:r>
          <w:r w:rsidRPr="00D56452">
            <w:rPr>
              <w:sz w:val="18"/>
              <w:szCs w:val="20"/>
            </w:rPr>
            <w:t xml:space="preserve"> of </w:t>
          </w:r>
          <w:r w:rsidRPr="00D56452">
            <w:rPr>
              <w:sz w:val="18"/>
              <w:szCs w:val="20"/>
            </w:rPr>
            <w:fldChar w:fldCharType="begin"/>
          </w:r>
          <w:r w:rsidRPr="00D56452">
            <w:rPr>
              <w:sz w:val="18"/>
              <w:szCs w:val="20"/>
            </w:rPr>
            <w:instrText xml:space="preserve"> NUMPAGES  \* Arabic  \* MERGEFORMAT </w:instrText>
          </w:r>
          <w:r w:rsidRPr="00D56452">
            <w:rPr>
              <w:sz w:val="18"/>
              <w:szCs w:val="20"/>
            </w:rPr>
            <w:fldChar w:fldCharType="separate"/>
          </w:r>
          <w:r w:rsidR="00AD59D9" w:rsidRPr="00AD59D9">
            <w:rPr>
              <w:noProof/>
              <w:sz w:val="18"/>
            </w:rPr>
            <w:t>5</w:t>
          </w:r>
          <w:r w:rsidRPr="00D56452">
            <w:rPr>
              <w:sz w:val="18"/>
              <w:szCs w:val="20"/>
            </w:rPr>
            <w:fldChar w:fldCharType="end"/>
          </w:r>
        </w:p>
      </w:tc>
    </w:tr>
  </w:tbl>
  <w:p w14:paraId="42D10579" w14:textId="14E4ADE5" w:rsidR="00BE7CF6" w:rsidRDefault="00BE7CF6">
    <w:pPr>
      <w:pStyle w:val="Header"/>
    </w:pPr>
  </w:p>
  <w:p w14:paraId="42D1057A" w14:textId="17D61640" w:rsidR="00BE7CF6" w:rsidRDefault="0015363C">
    <w:pPr>
      <w:pStyle w:val="Header"/>
    </w:pPr>
    <w:r>
      <w:rPr>
        <w:noProof/>
        <w:lang w:eastAsia="en-AU"/>
      </w:rPr>
      <w:drawing>
        <wp:anchor distT="0" distB="0" distL="114300" distR="114300" simplePos="0" relativeHeight="251659264" behindDoc="1" locked="0" layoutInCell="0" allowOverlap="1" wp14:anchorId="42D10584" wp14:editId="6C03E302">
          <wp:simplePos x="0" y="0"/>
          <wp:positionH relativeFrom="margin">
            <wp:posOffset>-284480</wp:posOffset>
          </wp:positionH>
          <wp:positionV relativeFrom="margin">
            <wp:posOffset>1347470</wp:posOffset>
          </wp:positionV>
          <wp:extent cx="6331585" cy="2907030"/>
          <wp:effectExtent l="0" t="0" r="0" b="7620"/>
          <wp:wrapNone/>
          <wp:docPr id="3" name="Picture 3" descr="N:\Marketing\FMA Logos\FINAL_Fl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FMA Logos\FINAL_Fluid.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1585" cy="290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80" w14:textId="77777777" w:rsidR="008079E5" w:rsidRDefault="008079E5">
    <w:pPr>
      <w:pStyle w:val="Header"/>
    </w:pPr>
  </w:p>
  <w:p w14:paraId="42D10581" w14:textId="77777777" w:rsidR="008079E5" w:rsidRDefault="008079E5">
    <w:pPr>
      <w:pStyle w:val="Header"/>
    </w:pPr>
  </w:p>
  <w:p w14:paraId="42D10582" w14:textId="77777777" w:rsidR="008079E5" w:rsidRDefault="008079E5">
    <w:pPr>
      <w:pStyle w:val="Header"/>
    </w:pPr>
  </w:p>
  <w:p w14:paraId="42D10583" w14:textId="77777777" w:rsidR="008079E5" w:rsidRDefault="0080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5CF"/>
    <w:multiLevelType w:val="multilevel"/>
    <w:tmpl w:val="7772B0AA"/>
    <w:styleLink w:val="CAMList"/>
    <w:lvl w:ilvl="0">
      <w:start w:val="1"/>
      <w:numFmt w:val="decimal"/>
      <w:pStyle w:val="CAMHead1"/>
      <w:lvlText w:val="%1.0"/>
      <w:lvlJc w:val="left"/>
      <w:pPr>
        <w:ind w:left="0" w:firstLine="0"/>
      </w:pPr>
      <w:rPr>
        <w:rFonts w:ascii="Cambria" w:hAnsi="Cambria" w:hint="default"/>
        <w:b/>
        <w:color w:val="000000"/>
        <w:sz w:val="28"/>
      </w:rPr>
    </w:lvl>
    <w:lvl w:ilvl="1">
      <w:start w:val="1"/>
      <w:numFmt w:val="decimal"/>
      <w:pStyle w:val="CAMHead2"/>
      <w:lvlText w:val="%1.%2"/>
      <w:lvlJc w:val="left"/>
      <w:pPr>
        <w:ind w:left="0" w:firstLine="0"/>
      </w:pPr>
      <w:rPr>
        <w:rFonts w:hint="default"/>
      </w:rPr>
    </w:lvl>
    <w:lvl w:ilvl="2">
      <w:start w:val="1"/>
      <w:numFmt w:val="decimal"/>
      <w:pStyle w:val="CAMHead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80B421C"/>
    <w:multiLevelType w:val="hybridMultilevel"/>
    <w:tmpl w:val="CD32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55CB1"/>
    <w:multiLevelType w:val="hybridMultilevel"/>
    <w:tmpl w:val="53463B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8447C0"/>
    <w:multiLevelType w:val="hybridMultilevel"/>
    <w:tmpl w:val="A2505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112329D2"/>
    <w:multiLevelType w:val="hybridMultilevel"/>
    <w:tmpl w:val="35D81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C1E4D"/>
    <w:multiLevelType w:val="hybridMultilevel"/>
    <w:tmpl w:val="80F6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94E5B"/>
    <w:multiLevelType w:val="hybridMultilevel"/>
    <w:tmpl w:val="721A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F328A"/>
    <w:multiLevelType w:val="hybridMultilevel"/>
    <w:tmpl w:val="42B4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74545A"/>
    <w:multiLevelType w:val="hybridMultilevel"/>
    <w:tmpl w:val="6B8C64BE"/>
    <w:lvl w:ilvl="0" w:tplc="3E7EB30E">
      <w:start w:val="1"/>
      <w:numFmt w:val="bullet"/>
      <w:lvlText w:val="•"/>
      <w:lvlJc w:val="left"/>
      <w:pPr>
        <w:ind w:left="721"/>
      </w:pPr>
      <w:rPr>
        <w:rFonts w:ascii="Arial" w:eastAsia="Times New Roman" w:hAnsi="Arial"/>
        <w:b w:val="0"/>
        <w:i w:val="0"/>
        <w:strike w:val="0"/>
        <w:dstrike w:val="0"/>
        <w:color w:val="000000"/>
        <w:sz w:val="22"/>
        <w:u w:val="none" w:color="000000"/>
        <w:vertAlign w:val="baseline"/>
      </w:rPr>
    </w:lvl>
    <w:lvl w:ilvl="1" w:tplc="C3589BBC">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EB1068A4">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ED94FEA2">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145453BE">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2D44DE8C">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3A44B90A">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31087AE4">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0DA493AC">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9" w15:restartNumberingAfterBreak="0">
    <w:nsid w:val="46655CEA"/>
    <w:multiLevelType w:val="hybridMultilevel"/>
    <w:tmpl w:val="9A4C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DA7D68"/>
    <w:multiLevelType w:val="multilevel"/>
    <w:tmpl w:val="172C6D68"/>
    <w:lvl w:ilvl="0">
      <w:start w:val="1"/>
      <w:numFmt w:val="decimal"/>
      <w:pStyle w:val="Style1"/>
      <w:lvlText w:val="%1.0"/>
      <w:lvlJc w:val="left"/>
      <w:pPr>
        <w:ind w:left="278" w:hanging="420"/>
      </w:pPr>
      <w:rPr>
        <w:rFonts w:hint="default"/>
        <w:b/>
        <w:color w:val="000000" w:themeColor="text1"/>
        <w:sz w:val="24"/>
        <w:u w:val="none"/>
      </w:rPr>
    </w:lvl>
    <w:lvl w:ilvl="1">
      <w:start w:val="1"/>
      <w:numFmt w:val="decimal"/>
      <w:lvlText w:val="%1.%2"/>
      <w:lvlJc w:val="left"/>
      <w:pPr>
        <w:ind w:left="998" w:hanging="420"/>
      </w:pPr>
      <w:rPr>
        <w:rFonts w:hint="default"/>
        <w:b/>
        <w:sz w:val="22"/>
      </w:rPr>
    </w:lvl>
    <w:lvl w:ilvl="2">
      <w:start w:val="1"/>
      <w:numFmt w:val="decimal"/>
      <w:lvlText w:val="%1.%2.%3"/>
      <w:lvlJc w:val="left"/>
      <w:pPr>
        <w:ind w:left="2018" w:hanging="720"/>
      </w:pPr>
      <w:rPr>
        <w:rFonts w:hint="default"/>
        <w:b w:val="0"/>
        <w:i w:val="0"/>
      </w:rPr>
    </w:lvl>
    <w:lvl w:ilvl="3">
      <w:start w:val="1"/>
      <w:numFmt w:val="bullet"/>
      <w:lvlText w:val=""/>
      <w:lvlJc w:val="left"/>
      <w:pPr>
        <w:ind w:left="2738" w:hanging="720"/>
      </w:pPr>
      <w:rPr>
        <w:rFonts w:ascii="Symbol" w:hAnsi="Symbol"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058" w:hanging="1440"/>
      </w:pPr>
      <w:rPr>
        <w:rFonts w:hint="default"/>
      </w:rPr>
    </w:lvl>
  </w:abstractNum>
  <w:abstractNum w:abstractNumId="11" w15:restartNumberingAfterBreak="0">
    <w:nsid w:val="68513E4D"/>
    <w:multiLevelType w:val="hybridMultilevel"/>
    <w:tmpl w:val="AF9A1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01B1629"/>
    <w:multiLevelType w:val="hybridMultilevel"/>
    <w:tmpl w:val="509E4E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7FCF6CF0"/>
    <w:multiLevelType w:val="hybridMultilevel"/>
    <w:tmpl w:val="1FF42C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0"/>
  </w:num>
  <w:num w:numId="2">
    <w:abstractNumId w:val="2"/>
  </w:num>
  <w:num w:numId="3">
    <w:abstractNumId w:val="11"/>
  </w:num>
  <w:num w:numId="4">
    <w:abstractNumId w:val="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5"/>
  </w:num>
  <w:num w:numId="14">
    <w:abstractNumId w:val="1"/>
  </w:num>
  <w:num w:numId="15">
    <w:abstractNumId w:val="4"/>
  </w:num>
  <w:num w:numId="16">
    <w:abstractNumId w:val="9"/>
  </w:num>
  <w:num w:numId="17">
    <w:abstractNumId w:val="7"/>
  </w:num>
  <w:num w:numId="18">
    <w:abstractNumId w:val="12"/>
  </w:num>
  <w:num w:numId="19">
    <w:abstractNumId w:val="13"/>
  </w:num>
  <w:num w:numId="20">
    <w:abstractNumId w:val="6"/>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E5ZWJwTfK6Ze58Cp4HtlUeUfeVSDW7K5AOY1+9oZushTPuvp1FmlQIW8zc4y+qg8RKZXUXLCDo8KCXRzYv1lw==" w:salt="ZYPq6niU+g7uzLOUrWB7L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D8"/>
    <w:rsid w:val="000541A6"/>
    <w:rsid w:val="000778AE"/>
    <w:rsid w:val="00081AAB"/>
    <w:rsid w:val="00086BAE"/>
    <w:rsid w:val="00095FBE"/>
    <w:rsid w:val="000A3706"/>
    <w:rsid w:val="000A5FA7"/>
    <w:rsid w:val="000C5E1F"/>
    <w:rsid w:val="000C7CDA"/>
    <w:rsid w:val="00100E79"/>
    <w:rsid w:val="0015363C"/>
    <w:rsid w:val="001858D5"/>
    <w:rsid w:val="00194CAE"/>
    <w:rsid w:val="001E3FB6"/>
    <w:rsid w:val="001F6C77"/>
    <w:rsid w:val="002445C1"/>
    <w:rsid w:val="002501FA"/>
    <w:rsid w:val="00291227"/>
    <w:rsid w:val="00314AE6"/>
    <w:rsid w:val="00314CE9"/>
    <w:rsid w:val="00324162"/>
    <w:rsid w:val="0035637F"/>
    <w:rsid w:val="003C0129"/>
    <w:rsid w:val="003D57D2"/>
    <w:rsid w:val="00406ACA"/>
    <w:rsid w:val="00407B4F"/>
    <w:rsid w:val="004128C2"/>
    <w:rsid w:val="0041753B"/>
    <w:rsid w:val="00444528"/>
    <w:rsid w:val="004B1DAA"/>
    <w:rsid w:val="004C7DB8"/>
    <w:rsid w:val="005267EF"/>
    <w:rsid w:val="005311C5"/>
    <w:rsid w:val="00575400"/>
    <w:rsid w:val="005763D0"/>
    <w:rsid w:val="005A43B0"/>
    <w:rsid w:val="005B578C"/>
    <w:rsid w:val="005C2A0E"/>
    <w:rsid w:val="005F4C17"/>
    <w:rsid w:val="006072CF"/>
    <w:rsid w:val="00607BD9"/>
    <w:rsid w:val="00631B1A"/>
    <w:rsid w:val="006A549F"/>
    <w:rsid w:val="006B0DC5"/>
    <w:rsid w:val="007039D8"/>
    <w:rsid w:val="00730848"/>
    <w:rsid w:val="00777E19"/>
    <w:rsid w:val="00790AC4"/>
    <w:rsid w:val="00791507"/>
    <w:rsid w:val="007B0491"/>
    <w:rsid w:val="007E6AD3"/>
    <w:rsid w:val="00804FC1"/>
    <w:rsid w:val="008065B5"/>
    <w:rsid w:val="008079E5"/>
    <w:rsid w:val="00842BD4"/>
    <w:rsid w:val="008D52A2"/>
    <w:rsid w:val="008F0011"/>
    <w:rsid w:val="00911550"/>
    <w:rsid w:val="00912D85"/>
    <w:rsid w:val="00915779"/>
    <w:rsid w:val="00945376"/>
    <w:rsid w:val="00A16136"/>
    <w:rsid w:val="00AD59D9"/>
    <w:rsid w:val="00B1219B"/>
    <w:rsid w:val="00B1470A"/>
    <w:rsid w:val="00B3221E"/>
    <w:rsid w:val="00B373C5"/>
    <w:rsid w:val="00B858DF"/>
    <w:rsid w:val="00BA3F75"/>
    <w:rsid w:val="00BD20C7"/>
    <w:rsid w:val="00BE7CF6"/>
    <w:rsid w:val="00C57353"/>
    <w:rsid w:val="00C721C9"/>
    <w:rsid w:val="00CA71C2"/>
    <w:rsid w:val="00CC5679"/>
    <w:rsid w:val="00CD2547"/>
    <w:rsid w:val="00D2456A"/>
    <w:rsid w:val="00D33178"/>
    <w:rsid w:val="00D43BA7"/>
    <w:rsid w:val="00D7203F"/>
    <w:rsid w:val="00D91336"/>
    <w:rsid w:val="00DC29F0"/>
    <w:rsid w:val="00DD2C07"/>
    <w:rsid w:val="00DF17CE"/>
    <w:rsid w:val="00E12C8B"/>
    <w:rsid w:val="00E145E0"/>
    <w:rsid w:val="00E60585"/>
    <w:rsid w:val="00E9223B"/>
    <w:rsid w:val="00EA1331"/>
    <w:rsid w:val="00ED09EF"/>
    <w:rsid w:val="00F161AC"/>
    <w:rsid w:val="00F313EA"/>
    <w:rsid w:val="00F360A4"/>
    <w:rsid w:val="00F836B1"/>
    <w:rsid w:val="00F876C0"/>
    <w:rsid w:val="00F9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103BF"/>
  <w15:docId w15:val="{E039DFE1-305D-4980-AFCA-6568F629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79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9D8"/>
    <w:rPr>
      <w:rFonts w:ascii="Tahoma" w:hAnsi="Tahoma" w:cs="Tahoma"/>
      <w:sz w:val="16"/>
      <w:szCs w:val="16"/>
    </w:rPr>
  </w:style>
  <w:style w:type="character" w:customStyle="1" w:styleId="BalloonTextChar">
    <w:name w:val="Balloon Text Char"/>
    <w:basedOn w:val="DefaultParagraphFont"/>
    <w:link w:val="BalloonText"/>
    <w:uiPriority w:val="99"/>
    <w:semiHidden/>
    <w:rsid w:val="007039D8"/>
    <w:rPr>
      <w:rFonts w:ascii="Tahoma" w:hAnsi="Tahoma" w:cs="Tahoma"/>
      <w:sz w:val="16"/>
      <w:szCs w:val="16"/>
    </w:rPr>
  </w:style>
  <w:style w:type="paragraph" w:styleId="Header">
    <w:name w:val="header"/>
    <w:basedOn w:val="Normal"/>
    <w:link w:val="HeaderChar"/>
    <w:uiPriority w:val="99"/>
    <w:unhideWhenUsed/>
    <w:rsid w:val="007039D8"/>
    <w:pPr>
      <w:tabs>
        <w:tab w:val="center" w:pos="4513"/>
        <w:tab w:val="right" w:pos="9026"/>
      </w:tabs>
    </w:pPr>
  </w:style>
  <w:style w:type="character" w:customStyle="1" w:styleId="HeaderChar">
    <w:name w:val="Header Char"/>
    <w:basedOn w:val="DefaultParagraphFont"/>
    <w:link w:val="Header"/>
    <w:uiPriority w:val="99"/>
    <w:rsid w:val="007039D8"/>
  </w:style>
  <w:style w:type="paragraph" w:styleId="Footer">
    <w:name w:val="footer"/>
    <w:basedOn w:val="Normal"/>
    <w:link w:val="FooterChar"/>
    <w:uiPriority w:val="99"/>
    <w:unhideWhenUsed/>
    <w:rsid w:val="007039D8"/>
    <w:pPr>
      <w:tabs>
        <w:tab w:val="center" w:pos="4513"/>
        <w:tab w:val="right" w:pos="9026"/>
      </w:tabs>
    </w:pPr>
  </w:style>
  <w:style w:type="character" w:customStyle="1" w:styleId="FooterChar">
    <w:name w:val="Footer Char"/>
    <w:basedOn w:val="DefaultParagraphFont"/>
    <w:link w:val="Footer"/>
    <w:uiPriority w:val="99"/>
    <w:rsid w:val="007039D8"/>
  </w:style>
  <w:style w:type="table" w:styleId="TableGrid">
    <w:name w:val="Table Grid"/>
    <w:basedOn w:val="TableNormal"/>
    <w:uiPriority w:val="59"/>
    <w:rsid w:val="0070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0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7D2"/>
    <w:pPr>
      <w:ind w:left="720"/>
      <w:contextualSpacing/>
    </w:pPr>
  </w:style>
  <w:style w:type="paragraph" w:customStyle="1" w:styleId="CAMHead1">
    <w:name w:val="CAM Head 1"/>
    <w:basedOn w:val="Heading1"/>
    <w:qFormat/>
    <w:rsid w:val="00607BD9"/>
    <w:pPr>
      <w:numPr>
        <w:numId w:val="4"/>
      </w:numPr>
      <w:spacing w:before="160"/>
      <w:jc w:val="both"/>
    </w:pPr>
    <w:rPr>
      <w:rFonts w:ascii="Cambria" w:eastAsia="Times New Roman" w:hAnsi="Cambria" w:cs="Times New Roman"/>
      <w:color w:val="auto"/>
      <w:lang w:val="en-GB"/>
    </w:rPr>
  </w:style>
  <w:style w:type="numbering" w:customStyle="1" w:styleId="CAMList">
    <w:name w:val="CAM List"/>
    <w:uiPriority w:val="99"/>
    <w:rsid w:val="00607BD9"/>
    <w:pPr>
      <w:numPr>
        <w:numId w:val="4"/>
      </w:numPr>
    </w:pPr>
  </w:style>
  <w:style w:type="paragraph" w:customStyle="1" w:styleId="CAMHead2">
    <w:name w:val="CAM Head 2"/>
    <w:basedOn w:val="CAMHead1"/>
    <w:qFormat/>
    <w:rsid w:val="00607BD9"/>
    <w:pPr>
      <w:numPr>
        <w:ilvl w:val="1"/>
      </w:numPr>
    </w:pPr>
    <w:rPr>
      <w:sz w:val="26"/>
      <w:szCs w:val="26"/>
    </w:rPr>
  </w:style>
  <w:style w:type="paragraph" w:customStyle="1" w:styleId="CAMHead3">
    <w:name w:val="CAM Head 3"/>
    <w:basedOn w:val="CAMHead2"/>
    <w:qFormat/>
    <w:rsid w:val="00607BD9"/>
    <w:pPr>
      <w:numPr>
        <w:ilvl w:val="2"/>
      </w:numPr>
    </w:pPr>
    <w:rPr>
      <w:i/>
      <w:sz w:val="24"/>
      <w:szCs w:val="24"/>
    </w:rPr>
  </w:style>
  <w:style w:type="paragraph" w:customStyle="1" w:styleId="CAMBulletLevel2">
    <w:name w:val="CAM Bullet Level 2"/>
    <w:basedOn w:val="CAMHead3"/>
    <w:qFormat/>
    <w:rsid w:val="00607BD9"/>
    <w:pPr>
      <w:ind w:left="720" w:hanging="720"/>
    </w:pPr>
    <w:rPr>
      <w:rFonts w:ascii="Arial" w:hAnsi="Arial" w:cs="Arial"/>
      <w:b w:val="0"/>
      <w:i w:val="0"/>
      <w:sz w:val="20"/>
      <w:szCs w:val="20"/>
    </w:rPr>
  </w:style>
  <w:style w:type="paragraph" w:customStyle="1" w:styleId="Style1">
    <w:name w:val="Style1"/>
    <w:basedOn w:val="Heading1"/>
    <w:qFormat/>
    <w:rsid w:val="00CA71C2"/>
    <w:pPr>
      <w:numPr>
        <w:numId w:val="1"/>
      </w:numPr>
      <w:pBdr>
        <w:bottom w:val="single" w:sz="4" w:space="1" w:color="808080" w:themeColor="background1" w:themeShade="80"/>
      </w:pBdr>
      <w:spacing w:before="0"/>
      <w:jc w:val="both"/>
    </w:pPr>
    <w:rPr>
      <w:rFonts w:asciiTheme="minorHAnsi" w:hAnsiTheme="minorHAnsi" w:cstheme="minorHAnsi"/>
      <w:color w:val="auto"/>
      <w:sz w:val="24"/>
    </w:rPr>
  </w:style>
  <w:style w:type="paragraph" w:styleId="TOCHeading">
    <w:name w:val="TOC Heading"/>
    <w:basedOn w:val="Heading1"/>
    <w:next w:val="Normal"/>
    <w:uiPriority w:val="39"/>
    <w:unhideWhenUsed/>
    <w:qFormat/>
    <w:rsid w:val="008079E5"/>
    <w:pPr>
      <w:spacing w:line="276" w:lineRule="auto"/>
      <w:outlineLvl w:val="9"/>
    </w:pPr>
    <w:rPr>
      <w:lang w:val="en-US" w:eastAsia="ja-JP"/>
    </w:rPr>
  </w:style>
  <w:style w:type="paragraph" w:styleId="TOC1">
    <w:name w:val="toc 1"/>
    <w:basedOn w:val="Normal"/>
    <w:next w:val="Normal"/>
    <w:autoRedefine/>
    <w:uiPriority w:val="39"/>
    <w:unhideWhenUsed/>
    <w:qFormat/>
    <w:rsid w:val="008079E5"/>
    <w:pPr>
      <w:spacing w:after="100"/>
    </w:pPr>
  </w:style>
  <w:style w:type="character" w:styleId="Hyperlink">
    <w:name w:val="Hyperlink"/>
    <w:basedOn w:val="DefaultParagraphFont"/>
    <w:uiPriority w:val="99"/>
    <w:unhideWhenUsed/>
    <w:rsid w:val="008079E5"/>
    <w:rPr>
      <w:color w:val="0000FF" w:themeColor="hyperlink"/>
      <w:u w:val="single"/>
    </w:rPr>
  </w:style>
  <w:style w:type="paragraph" w:styleId="TOC2">
    <w:name w:val="toc 2"/>
    <w:basedOn w:val="Normal"/>
    <w:next w:val="Normal"/>
    <w:autoRedefine/>
    <w:uiPriority w:val="39"/>
    <w:unhideWhenUsed/>
    <w:qFormat/>
    <w:rsid w:val="008079E5"/>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8079E5"/>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semiHidden/>
    <w:rsid w:val="008079E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721C9"/>
    <w:pPr>
      <w:spacing w:before="100" w:beforeAutospacing="1" w:after="100" w:afterAutospacing="1"/>
    </w:pPr>
    <w:rPr>
      <w:rFonts w:ascii="Times New Roman" w:eastAsiaTheme="minorEastAsia" w:hAnsi="Times New Roman" w:cs="Times New Roman"/>
      <w:sz w:val="24"/>
      <w:szCs w:val="24"/>
      <w:lang w:eastAsia="en-AU"/>
    </w:rPr>
  </w:style>
  <w:style w:type="paragraph" w:customStyle="1" w:styleId="Default">
    <w:name w:val="Default"/>
    <w:rsid w:val="00095FBE"/>
    <w:pPr>
      <w:autoSpaceDE w:val="0"/>
      <w:autoSpaceDN w:val="0"/>
      <w:adjustRightInd w:val="0"/>
    </w:pPr>
    <w:rPr>
      <w:rFonts w:ascii="Calibri" w:hAnsi="Calibri" w:cs="Calibri"/>
      <w:color w:val="000000"/>
      <w:sz w:val="24"/>
      <w:szCs w:val="24"/>
    </w:rPr>
  </w:style>
  <w:style w:type="table" w:customStyle="1" w:styleId="TableGrid0">
    <w:name w:val="TableGrid"/>
    <w:rsid w:val="00AD59D9"/>
    <w:rPr>
      <w:rFonts w:eastAsiaTheme="minorEastAsia" w:cs="Times New Roman"/>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526">
      <w:bodyDiv w:val="1"/>
      <w:marLeft w:val="0"/>
      <w:marRight w:val="0"/>
      <w:marTop w:val="0"/>
      <w:marBottom w:val="0"/>
      <w:divBdr>
        <w:top w:val="none" w:sz="0" w:space="0" w:color="auto"/>
        <w:left w:val="none" w:sz="0" w:space="0" w:color="auto"/>
        <w:bottom w:val="none" w:sz="0" w:space="0" w:color="auto"/>
        <w:right w:val="none" w:sz="0" w:space="0" w:color="auto"/>
      </w:divBdr>
      <w:divsChild>
        <w:div w:id="78142763">
          <w:marLeft w:val="0"/>
          <w:marRight w:val="0"/>
          <w:marTop w:val="0"/>
          <w:marBottom w:val="0"/>
          <w:divBdr>
            <w:top w:val="none" w:sz="0" w:space="0" w:color="auto"/>
            <w:left w:val="none" w:sz="0" w:space="0" w:color="auto"/>
            <w:bottom w:val="none" w:sz="0" w:space="0" w:color="auto"/>
            <w:right w:val="none" w:sz="0" w:space="0" w:color="auto"/>
          </w:divBdr>
        </w:div>
        <w:div w:id="1742211710">
          <w:marLeft w:val="0"/>
          <w:marRight w:val="0"/>
          <w:marTop w:val="0"/>
          <w:marBottom w:val="0"/>
          <w:divBdr>
            <w:top w:val="none" w:sz="0" w:space="0" w:color="auto"/>
            <w:left w:val="none" w:sz="0" w:space="0" w:color="auto"/>
            <w:bottom w:val="none" w:sz="0" w:space="0" w:color="auto"/>
            <w:right w:val="none" w:sz="0" w:space="0" w:color="auto"/>
          </w:divBdr>
        </w:div>
        <w:div w:id="564881040">
          <w:marLeft w:val="0"/>
          <w:marRight w:val="0"/>
          <w:marTop w:val="0"/>
          <w:marBottom w:val="0"/>
          <w:divBdr>
            <w:top w:val="none" w:sz="0" w:space="0" w:color="auto"/>
            <w:left w:val="none" w:sz="0" w:space="0" w:color="auto"/>
            <w:bottom w:val="none" w:sz="0" w:space="0" w:color="auto"/>
            <w:right w:val="none" w:sz="0" w:space="0" w:color="auto"/>
          </w:divBdr>
        </w:div>
        <w:div w:id="1191068885">
          <w:marLeft w:val="0"/>
          <w:marRight w:val="0"/>
          <w:marTop w:val="0"/>
          <w:marBottom w:val="0"/>
          <w:divBdr>
            <w:top w:val="none" w:sz="0" w:space="0" w:color="auto"/>
            <w:left w:val="none" w:sz="0" w:space="0" w:color="auto"/>
            <w:bottom w:val="none" w:sz="0" w:space="0" w:color="auto"/>
            <w:right w:val="none" w:sz="0" w:space="0" w:color="auto"/>
          </w:divBdr>
        </w:div>
        <w:div w:id="1029796472">
          <w:marLeft w:val="0"/>
          <w:marRight w:val="0"/>
          <w:marTop w:val="0"/>
          <w:marBottom w:val="0"/>
          <w:divBdr>
            <w:top w:val="none" w:sz="0" w:space="0" w:color="auto"/>
            <w:left w:val="none" w:sz="0" w:space="0" w:color="auto"/>
            <w:bottom w:val="none" w:sz="0" w:space="0" w:color="auto"/>
            <w:right w:val="none" w:sz="0" w:space="0" w:color="auto"/>
          </w:divBdr>
        </w:div>
        <w:div w:id="373508464">
          <w:marLeft w:val="0"/>
          <w:marRight w:val="0"/>
          <w:marTop w:val="0"/>
          <w:marBottom w:val="0"/>
          <w:divBdr>
            <w:top w:val="none" w:sz="0" w:space="0" w:color="auto"/>
            <w:left w:val="none" w:sz="0" w:space="0" w:color="auto"/>
            <w:bottom w:val="none" w:sz="0" w:space="0" w:color="auto"/>
            <w:right w:val="none" w:sz="0" w:space="0" w:color="auto"/>
          </w:divBdr>
        </w:div>
        <w:div w:id="1592003821">
          <w:marLeft w:val="0"/>
          <w:marRight w:val="0"/>
          <w:marTop w:val="0"/>
          <w:marBottom w:val="0"/>
          <w:divBdr>
            <w:top w:val="none" w:sz="0" w:space="0" w:color="auto"/>
            <w:left w:val="none" w:sz="0" w:space="0" w:color="auto"/>
            <w:bottom w:val="none" w:sz="0" w:space="0" w:color="auto"/>
            <w:right w:val="none" w:sz="0" w:space="0" w:color="auto"/>
          </w:divBdr>
        </w:div>
        <w:div w:id="2056540961">
          <w:marLeft w:val="0"/>
          <w:marRight w:val="0"/>
          <w:marTop w:val="0"/>
          <w:marBottom w:val="0"/>
          <w:divBdr>
            <w:top w:val="none" w:sz="0" w:space="0" w:color="auto"/>
            <w:left w:val="none" w:sz="0" w:space="0" w:color="auto"/>
            <w:bottom w:val="none" w:sz="0" w:space="0" w:color="auto"/>
            <w:right w:val="none" w:sz="0" w:space="0" w:color="auto"/>
          </w:divBdr>
        </w:div>
        <w:div w:id="1162357628">
          <w:marLeft w:val="0"/>
          <w:marRight w:val="0"/>
          <w:marTop w:val="0"/>
          <w:marBottom w:val="0"/>
          <w:divBdr>
            <w:top w:val="none" w:sz="0" w:space="0" w:color="auto"/>
            <w:left w:val="none" w:sz="0" w:space="0" w:color="auto"/>
            <w:bottom w:val="none" w:sz="0" w:space="0" w:color="auto"/>
            <w:right w:val="none" w:sz="0" w:space="0" w:color="auto"/>
          </w:divBdr>
        </w:div>
        <w:div w:id="1116291424">
          <w:marLeft w:val="0"/>
          <w:marRight w:val="0"/>
          <w:marTop w:val="0"/>
          <w:marBottom w:val="0"/>
          <w:divBdr>
            <w:top w:val="none" w:sz="0" w:space="0" w:color="auto"/>
            <w:left w:val="none" w:sz="0" w:space="0" w:color="auto"/>
            <w:bottom w:val="none" w:sz="0" w:space="0" w:color="auto"/>
            <w:right w:val="none" w:sz="0" w:space="0" w:color="auto"/>
          </w:divBdr>
        </w:div>
        <w:div w:id="142284368">
          <w:marLeft w:val="0"/>
          <w:marRight w:val="0"/>
          <w:marTop w:val="0"/>
          <w:marBottom w:val="0"/>
          <w:divBdr>
            <w:top w:val="none" w:sz="0" w:space="0" w:color="auto"/>
            <w:left w:val="none" w:sz="0" w:space="0" w:color="auto"/>
            <w:bottom w:val="none" w:sz="0" w:space="0" w:color="auto"/>
            <w:right w:val="none" w:sz="0" w:space="0" w:color="auto"/>
          </w:divBdr>
        </w:div>
        <w:div w:id="124584576">
          <w:marLeft w:val="0"/>
          <w:marRight w:val="0"/>
          <w:marTop w:val="0"/>
          <w:marBottom w:val="0"/>
          <w:divBdr>
            <w:top w:val="none" w:sz="0" w:space="0" w:color="auto"/>
            <w:left w:val="none" w:sz="0" w:space="0" w:color="auto"/>
            <w:bottom w:val="none" w:sz="0" w:space="0" w:color="auto"/>
            <w:right w:val="none" w:sz="0" w:space="0" w:color="auto"/>
          </w:divBdr>
        </w:div>
        <w:div w:id="1754622272">
          <w:marLeft w:val="0"/>
          <w:marRight w:val="0"/>
          <w:marTop w:val="0"/>
          <w:marBottom w:val="0"/>
          <w:divBdr>
            <w:top w:val="none" w:sz="0" w:space="0" w:color="auto"/>
            <w:left w:val="none" w:sz="0" w:space="0" w:color="auto"/>
            <w:bottom w:val="none" w:sz="0" w:space="0" w:color="auto"/>
            <w:right w:val="none" w:sz="0" w:space="0" w:color="auto"/>
          </w:divBdr>
        </w:div>
        <w:div w:id="1871185484">
          <w:marLeft w:val="0"/>
          <w:marRight w:val="0"/>
          <w:marTop w:val="0"/>
          <w:marBottom w:val="0"/>
          <w:divBdr>
            <w:top w:val="none" w:sz="0" w:space="0" w:color="auto"/>
            <w:left w:val="none" w:sz="0" w:space="0" w:color="auto"/>
            <w:bottom w:val="none" w:sz="0" w:space="0" w:color="auto"/>
            <w:right w:val="none" w:sz="0" w:space="0" w:color="auto"/>
          </w:divBdr>
        </w:div>
        <w:div w:id="216205008">
          <w:marLeft w:val="0"/>
          <w:marRight w:val="0"/>
          <w:marTop w:val="0"/>
          <w:marBottom w:val="0"/>
          <w:divBdr>
            <w:top w:val="none" w:sz="0" w:space="0" w:color="auto"/>
            <w:left w:val="none" w:sz="0" w:space="0" w:color="auto"/>
            <w:bottom w:val="none" w:sz="0" w:space="0" w:color="auto"/>
            <w:right w:val="none" w:sz="0" w:space="0" w:color="auto"/>
          </w:divBdr>
        </w:div>
        <w:div w:id="1538464515">
          <w:marLeft w:val="0"/>
          <w:marRight w:val="0"/>
          <w:marTop w:val="0"/>
          <w:marBottom w:val="0"/>
          <w:divBdr>
            <w:top w:val="none" w:sz="0" w:space="0" w:color="auto"/>
            <w:left w:val="none" w:sz="0" w:space="0" w:color="auto"/>
            <w:bottom w:val="none" w:sz="0" w:space="0" w:color="auto"/>
            <w:right w:val="none" w:sz="0" w:space="0" w:color="auto"/>
          </w:divBdr>
        </w:div>
        <w:div w:id="1185704514">
          <w:marLeft w:val="0"/>
          <w:marRight w:val="0"/>
          <w:marTop w:val="0"/>
          <w:marBottom w:val="0"/>
          <w:divBdr>
            <w:top w:val="none" w:sz="0" w:space="0" w:color="auto"/>
            <w:left w:val="none" w:sz="0" w:space="0" w:color="auto"/>
            <w:bottom w:val="none" w:sz="0" w:space="0" w:color="auto"/>
            <w:right w:val="none" w:sz="0" w:space="0" w:color="auto"/>
          </w:divBdr>
        </w:div>
        <w:div w:id="2058893558">
          <w:marLeft w:val="0"/>
          <w:marRight w:val="0"/>
          <w:marTop w:val="0"/>
          <w:marBottom w:val="0"/>
          <w:divBdr>
            <w:top w:val="none" w:sz="0" w:space="0" w:color="auto"/>
            <w:left w:val="none" w:sz="0" w:space="0" w:color="auto"/>
            <w:bottom w:val="none" w:sz="0" w:space="0" w:color="auto"/>
            <w:right w:val="none" w:sz="0" w:space="0" w:color="auto"/>
          </w:divBdr>
        </w:div>
        <w:div w:id="1206212134">
          <w:marLeft w:val="0"/>
          <w:marRight w:val="0"/>
          <w:marTop w:val="0"/>
          <w:marBottom w:val="0"/>
          <w:divBdr>
            <w:top w:val="none" w:sz="0" w:space="0" w:color="auto"/>
            <w:left w:val="none" w:sz="0" w:space="0" w:color="auto"/>
            <w:bottom w:val="none" w:sz="0" w:space="0" w:color="auto"/>
            <w:right w:val="none" w:sz="0" w:space="0" w:color="auto"/>
          </w:divBdr>
        </w:div>
        <w:div w:id="403571192">
          <w:marLeft w:val="0"/>
          <w:marRight w:val="0"/>
          <w:marTop w:val="0"/>
          <w:marBottom w:val="0"/>
          <w:divBdr>
            <w:top w:val="none" w:sz="0" w:space="0" w:color="auto"/>
            <w:left w:val="none" w:sz="0" w:space="0" w:color="auto"/>
            <w:bottom w:val="none" w:sz="0" w:space="0" w:color="auto"/>
            <w:right w:val="none" w:sz="0" w:space="0" w:color="auto"/>
          </w:divBdr>
        </w:div>
        <w:div w:id="85349165">
          <w:marLeft w:val="0"/>
          <w:marRight w:val="0"/>
          <w:marTop w:val="0"/>
          <w:marBottom w:val="0"/>
          <w:divBdr>
            <w:top w:val="none" w:sz="0" w:space="0" w:color="auto"/>
            <w:left w:val="none" w:sz="0" w:space="0" w:color="auto"/>
            <w:bottom w:val="none" w:sz="0" w:space="0" w:color="auto"/>
            <w:right w:val="none" w:sz="0" w:space="0" w:color="auto"/>
          </w:divBdr>
        </w:div>
      </w:divsChild>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1531335698">
      <w:bodyDiv w:val="1"/>
      <w:marLeft w:val="0"/>
      <w:marRight w:val="0"/>
      <w:marTop w:val="0"/>
      <w:marBottom w:val="0"/>
      <w:divBdr>
        <w:top w:val="none" w:sz="0" w:space="0" w:color="auto"/>
        <w:left w:val="none" w:sz="0" w:space="0" w:color="auto"/>
        <w:bottom w:val="none" w:sz="0" w:space="0" w:color="auto"/>
        <w:right w:val="none" w:sz="0" w:space="0" w:color="auto"/>
      </w:divBdr>
    </w:div>
    <w:div w:id="2067794356">
      <w:bodyDiv w:val="1"/>
      <w:marLeft w:val="0"/>
      <w:marRight w:val="0"/>
      <w:marTop w:val="0"/>
      <w:marBottom w:val="0"/>
      <w:divBdr>
        <w:top w:val="none" w:sz="0" w:space="0" w:color="auto"/>
        <w:left w:val="none" w:sz="0" w:space="0" w:color="auto"/>
        <w:bottom w:val="none" w:sz="0" w:space="0" w:color="auto"/>
        <w:right w:val="none" w:sz="0" w:space="0" w:color="auto"/>
      </w:divBdr>
      <w:divsChild>
        <w:div w:id="163197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B2C6-FAE7-4B73-97E5-EFE9BD88AE34}">
  <ds:schemaRefs>
    <ds:schemaRef ds:uri="http://schemas.microsoft.com/office/2006/documentManagement/types"/>
    <ds:schemaRef ds:uri="2d614a0a-d197-4202-972c-dc89e6b67a30"/>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86F1E3-5751-4406-8FB3-01287060E1CB}">
  <ds:schemaRefs>
    <ds:schemaRef ds:uri="http://schemas.microsoft.com/sharepoint/v3/contenttype/forms"/>
  </ds:schemaRefs>
</ds:datastoreItem>
</file>

<file path=customXml/itemProps3.xml><?xml version="1.0" encoding="utf-8"?>
<ds:datastoreItem xmlns:ds="http://schemas.openxmlformats.org/officeDocument/2006/customXml" ds:itemID="{EC8842D4-D8DA-4659-B6B1-3E8593DD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a0a-d197-4202-972c-dc89e6b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725D4-DB68-4988-8AD5-37AFED96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964</Words>
  <Characters>5495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Travaskis</dc:creator>
  <cp:lastModifiedBy>Emily Trevaskis</cp:lastModifiedBy>
  <cp:revision>3</cp:revision>
  <cp:lastPrinted>2016-10-04T06:26:00Z</cp:lastPrinted>
  <dcterms:created xsi:type="dcterms:W3CDTF">2016-10-19T04:44:00Z</dcterms:created>
  <dcterms:modified xsi:type="dcterms:W3CDTF">2016-10-19T04:48:00Z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0x01010027710E3DA4CF9F4287CEB4CDCF55BE4A</vt:lpwstr>
  </property>
</Properties>
</file>